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bCs/>
          <w:color w:val="2A78D6"/>
          <w:sz w:val="17"/>
          <w:szCs w:val="17"/>
        </w:rPr>
        <w:t xml:space="preserve">A GRIDIQ FEATURE  ·  COMMERCIAL PERFORMANCE</w:t>
      </w:r>
    </w:p>
    <w:p>
      <w:pPr>
        <w:spacing w:after="160"/>
      </w:pPr>
      <w:r>
        <w:rPr>
          <w:b/>
          <w:bCs/>
          <w:color w:val="0D2438"/>
          <w:sz w:val="44"/>
          <w:szCs w:val="44"/>
        </w:rPr>
        <w:t xml:space="preserve">Why DisCos Must Fix ATC&amp;C Losses Before the Next Tariff Review</w:t>
      </w:r>
    </w:p>
    <w:p>
      <w:pPr>
        <w:spacing w:after="200"/>
      </w:pPr>
      <w:r>
        <w:rPr>
          <w:color w:val="52514E"/>
          <w:sz w:val="24"/>
          <w:szCs w:val="24"/>
        </w:rPr>
        <w:t xml:space="preserve">Without a step-change in loss reduction, the next phase of tariff adjustments will not deliver the intended impact — and the five years of NERC data behind that warning show a sector that improved, then quietly stopped.</w:t>
      </w:r>
    </w:p>
    <w:p>
      <w:pPr>
        <w:spacing w:after="280"/>
      </w:pPr>
      <w:r>
        <w:rPr>
          <w:i/>
          <w:iCs/>
          <w:color w:val="898781"/>
          <w:sz w:val="18"/>
          <w:szCs w:val="18"/>
        </w:rPr>
        <w:t xml:space="preserve">A GridIQ Analytics and Insight Ltd Feature</w:t>
      </w:r>
      <w:r>
        <w:rPr>
          <w:color w:val="898781"/>
          <w:sz w:val="18"/>
          <w:szCs w:val="18"/>
        </w:rPr>
        <w:t xml:space="preserve">   ·   </w:t>
      </w:r>
      <w:r>
        <w:rPr>
          <w:i/>
          <w:iCs/>
          <w:color w:val="898781"/>
          <w:sz w:val="18"/>
          <w:szCs w:val="18"/>
        </w:rPr>
        <w:t xml:space="preserve">21 September 2026</w:t>
      </w:r>
    </w:p>
    <w:p>
      <w:pPr>
        <w:spacing w:after="100"/>
        <w:jc w:val="center"/>
      </w:pPr>
      <w:r>
        <w:drawing>
          <wp:inline distT="0" distB="0" distL="0" distR="0">
            <wp:extent cx="5943600" cy="396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3962400"/>
                    </a:xfrm>
                    <a:prstGeom prst="rect">
                      <a:avLst/>
                    </a:prstGeom>
                  </pic:spPr>
                </pic:pic>
              </a:graphicData>
            </a:graphic>
          </wp:inline>
        </w:drawing>
      </w:r>
    </w:p>
    <w:p>
      <w:pPr>
        <w:spacing w:after="320"/>
        <w:jc w:val="center"/>
      </w:pPr>
      <w:r>
        <w:rPr>
          <w:i/>
          <w:iCs/>
          <w:color w:val="898781"/>
          <w:sz w:val="18"/>
          <w:szCs w:val="18"/>
        </w:rPr>
        <w:t xml:space="preserve">A field technician completes maintenance on a distribution transformer. Metering and feeder-level maintenance quality are the strongest predictors of ATC&amp;C performance across Nigeria's DisCos. Illustrative.</w:t>
      </w:r>
    </w:p>
    <w:p>
      <w:pPr>
        <w:spacing w:after="200"/>
      </w:pPr>
      <w:r>
        <w:rPr>
          <w:sz w:val="22"/>
          <w:szCs w:val="22"/>
        </w:rPr>
        <w:t xml:space="preserve">Nigeria's electricity distribution companies lost </w:t>
      </w:r>
      <w:r>
        <w:rPr>
          <w:b/>
          <w:bCs/>
          <w:sz w:val="22"/>
          <w:szCs w:val="22"/>
        </w:rPr>
        <w:t xml:space="preserve">37.44%</w:t>
      </w:r>
      <w:r>
        <w:rPr>
          <w:sz w:val="22"/>
          <w:szCs w:val="22"/>
        </w:rPr>
        <w:t xml:space="preserve"> of the energy delivered to them in the first quarter of 2026 — to faulty meters, unbilled consumption, and uncollected bills. That is down 10.4 percentage points from where the sector stood at the start of 2022, a genuine improvement bought over four hard years. It is also 1.6 points worse than three quarters earlier, and more than double the loss rate MYTO now says DisCos should be running at. The gap between what regulation demands and what the network actually delivers has not been closing. It has been widening — even as the targets themselves got stricter.</w:t>
      </w:r>
    </w:p>
    <w:p>
      <w:pPr>
        <w:spacing w:after="240"/>
      </w:pPr>
      <w:r>
        <w:rPr>
          <w:b/>
          <w:bCs/>
          <w:sz w:val="22"/>
          <w:szCs w:val="22"/>
        </w:rPr>
        <w:t xml:space="preserve">The average DisCo is currently losing more than a third of the energy it receives, and the twelve months of data behind that number look far more like drift than progress.</w:t>
      </w:r>
    </w:p>
    <w:p>
      <w:pPr>
        <w:spacing w:after="120"/>
      </w:pPr>
      <w:r>
        <w:rPr>
          <w:b/>
          <w:bCs/>
          <w:color w:val="898781"/>
          <w:sz w:val="19"/>
          <w:szCs w:val="19"/>
        </w:rPr>
        <w:t xml:space="preserve">Table 1 · ATC&amp;C Loss — National Snapshot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200"/>
        <w:gridCol w:w="1600"/>
        <w:gridCol w:w="5280"/>
      </w:tblGrid>
      <w:tr>
        <w:tc>
          <w:tcPr>
            <w:tcW w:type="dxa" w:w="3200"/>
            <w:shd w:fill="0D2438" w:val="clear"/>
            <w:tcMar>
              <w:top w:type="dxa" w:w="100"/>
              <w:left w:type="dxa" w:w="120"/>
              <w:bottom w:type="dxa" w:w="100"/>
              <w:right w:type="dxa" w:w="120"/>
            </w:tcMar>
          </w:tcPr>
          <w:p>
            <w:r>
              <w:rPr>
                <w:b/>
                <w:bCs/>
                <w:color w:val="FFFFFF"/>
                <w:sz w:val="18"/>
                <w:szCs w:val="18"/>
              </w:rPr>
              <w:t xml:space="preserve">Metric</w:t>
            </w:r>
          </w:p>
        </w:tc>
        <w:tc>
          <w:tcPr>
            <w:tcW w:type="dxa" w:w="1600"/>
            <w:shd w:fill="0D2438" w:val="clear"/>
            <w:tcMar>
              <w:top w:type="dxa" w:w="100"/>
              <w:left w:type="dxa" w:w="120"/>
              <w:bottom w:type="dxa" w:w="100"/>
              <w:right w:type="dxa" w:w="120"/>
            </w:tcMar>
          </w:tcPr>
          <w:p>
            <w:r>
              <w:rPr>
                <w:b/>
                <w:bCs/>
                <w:color w:val="FFFFFF"/>
                <w:sz w:val="18"/>
                <w:szCs w:val="18"/>
              </w:rPr>
              <w:t xml:space="preserve">Figure</w:t>
            </w:r>
          </w:p>
        </w:tc>
        <w:tc>
          <w:tcPr>
            <w:tcW w:type="dxa" w:w="5280"/>
            <w:shd w:fill="0D2438" w:val="clear"/>
            <w:tcMar>
              <w:top w:type="dxa" w:w="100"/>
              <w:left w:type="dxa" w:w="120"/>
              <w:bottom w:type="dxa" w:w="100"/>
              <w:right w:type="dxa" w:w="120"/>
            </w:tcMar>
          </w:tcPr>
          <w:p>
            <w:r>
              <w:rPr>
                <w:b/>
                <w:bCs/>
                <w:color w:val="FFFFFF"/>
                <w:sz w:val="18"/>
                <w:szCs w:val="18"/>
              </w:rPr>
              <w:t xml:space="preserve">What it means for the tariff review</w:t>
            </w:r>
          </w:p>
        </w:tc>
      </w:tr>
      <w:tr>
        <w:tc>
          <w:tcPr>
            <w:tcW w:type="dxa" w:w="3200"/>
            <w:tcMar>
              <w:top w:type="dxa" w:w="100"/>
              <w:left w:type="dxa" w:w="120"/>
              <w:bottom w:type="dxa" w:w="100"/>
              <w:right w:type="dxa" w:w="120"/>
            </w:tcMar>
          </w:tcPr>
          <w:p>
            <w:r>
              <w:rPr>
                <w:b w:val="false"/>
                <w:bCs w:val="false"/>
                <w:color w:val="0B0B0B"/>
                <w:sz w:val="19"/>
                <w:szCs w:val="19"/>
              </w:rPr>
              <w:t xml:space="preserve">National ATC&amp;C loss, 2026 Q1</w:t>
            </w:r>
          </w:p>
        </w:tc>
        <w:tc>
          <w:tcPr>
            <w:tcW w:type="dxa" w:w="1600"/>
            <w:tcMar>
              <w:top w:type="dxa" w:w="100"/>
              <w:left w:type="dxa" w:w="120"/>
              <w:bottom w:type="dxa" w:w="100"/>
              <w:right w:type="dxa" w:w="120"/>
            </w:tcMar>
          </w:tcPr>
          <w:p>
            <w:r>
              <w:rPr>
                <w:b w:val="false"/>
                <w:bCs w:val="false"/>
                <w:color w:val="0B0B0B"/>
                <w:sz w:val="19"/>
                <w:szCs w:val="19"/>
              </w:rPr>
              <w:t xml:space="preserve">37.44%</w:t>
            </w:r>
          </w:p>
        </w:tc>
        <w:tc>
          <w:tcPr>
            <w:tcW w:type="dxa" w:w="5280"/>
            <w:tcMar>
              <w:top w:type="dxa" w:w="100"/>
              <w:left w:type="dxa" w:w="120"/>
              <w:bottom w:type="dxa" w:w="100"/>
              <w:right w:type="dxa" w:w="120"/>
            </w:tcMar>
          </w:tcPr>
          <w:p>
            <w:r>
              <w:rPr>
                <w:b w:val="false"/>
                <w:bCs w:val="false"/>
                <w:color w:val="0B0B0B"/>
                <w:sz w:val="19"/>
                <w:szCs w:val="19"/>
              </w:rPr>
              <w:t xml:space="preserve">More than double the 16.92% MYTO target for the year</w:t>
            </w:r>
          </w:p>
        </w:tc>
      </w:tr>
      <w:tr>
        <w:tc>
          <w:tcPr>
            <w:tcW w:type="dxa" w:w="3200"/>
            <w:tcMar>
              <w:top w:type="dxa" w:w="100"/>
              <w:left w:type="dxa" w:w="120"/>
              <w:bottom w:type="dxa" w:w="100"/>
              <w:right w:type="dxa" w:w="120"/>
            </w:tcMar>
          </w:tcPr>
          <w:p>
            <w:r>
              <w:rPr>
                <w:b w:val="false"/>
                <w:bCs w:val="false"/>
                <w:color w:val="0B0B0B"/>
                <w:sz w:val="19"/>
                <w:szCs w:val="19"/>
              </w:rPr>
              <w:t xml:space="preserve">Change since Q1 2022</w:t>
            </w:r>
          </w:p>
        </w:tc>
        <w:tc>
          <w:tcPr>
            <w:tcW w:type="dxa" w:w="1600"/>
            <w:tcMar>
              <w:top w:type="dxa" w:w="100"/>
              <w:left w:type="dxa" w:w="120"/>
              <w:bottom w:type="dxa" w:w="100"/>
              <w:right w:type="dxa" w:w="120"/>
            </w:tcMar>
          </w:tcPr>
          <w:p>
            <w:r>
              <w:rPr>
                <w:b w:val="false"/>
                <w:bCs w:val="false"/>
                <w:color w:val="0B0B0B"/>
                <w:sz w:val="19"/>
                <w:szCs w:val="19"/>
              </w:rPr>
              <w:t xml:space="preserve">−10.44pp</w:t>
            </w:r>
          </w:p>
        </w:tc>
        <w:tc>
          <w:tcPr>
            <w:tcW w:type="dxa" w:w="5280"/>
            <w:tcMar>
              <w:top w:type="dxa" w:w="100"/>
              <w:left w:type="dxa" w:w="120"/>
              <w:bottom w:type="dxa" w:w="100"/>
              <w:right w:type="dxa" w:w="120"/>
            </w:tcMar>
          </w:tcPr>
          <w:p>
            <w:r>
              <w:rPr>
                <w:b w:val="false"/>
                <w:bCs w:val="false"/>
                <w:color w:val="0B0B0B"/>
                <w:sz w:val="19"/>
                <w:szCs w:val="19"/>
              </w:rPr>
              <w:t xml:space="preserve">Real progress 2022–24, essentially flat since</w:t>
            </w:r>
          </w:p>
        </w:tc>
      </w:tr>
      <w:tr>
        <w:tc>
          <w:tcPr>
            <w:tcW w:type="dxa" w:w="3200"/>
            <w:tcMar>
              <w:top w:type="dxa" w:w="100"/>
              <w:left w:type="dxa" w:w="120"/>
              <w:bottom w:type="dxa" w:w="100"/>
              <w:right w:type="dxa" w:w="120"/>
            </w:tcMar>
          </w:tcPr>
          <w:p>
            <w:r>
              <w:rPr>
                <w:b w:val="false"/>
                <w:bCs w:val="false"/>
                <w:color w:val="0B0B0B"/>
                <w:sz w:val="19"/>
                <w:szCs w:val="19"/>
              </w:rPr>
              <w:t xml:space="preserve">Gap to 2026 MYTO target</w:t>
            </w:r>
          </w:p>
        </w:tc>
        <w:tc>
          <w:tcPr>
            <w:tcW w:type="dxa" w:w="1600"/>
            <w:tcMar>
              <w:top w:type="dxa" w:w="100"/>
              <w:left w:type="dxa" w:w="120"/>
              <w:bottom w:type="dxa" w:w="100"/>
              <w:right w:type="dxa" w:w="120"/>
            </w:tcMar>
          </w:tcPr>
          <w:p>
            <w:r>
              <w:rPr>
                <w:b w:val="false"/>
                <w:bCs w:val="false"/>
                <w:color w:val="0B0B0B"/>
                <w:sz w:val="19"/>
                <w:szCs w:val="19"/>
              </w:rPr>
              <w:t xml:space="preserve">20.52pp</w:t>
            </w:r>
          </w:p>
        </w:tc>
        <w:tc>
          <w:tcPr>
            <w:tcW w:type="dxa" w:w="5280"/>
            <w:tcMar>
              <w:top w:type="dxa" w:w="100"/>
              <w:left w:type="dxa" w:w="120"/>
              <w:bottom w:type="dxa" w:w="100"/>
              <w:right w:type="dxa" w:w="120"/>
            </w:tcMar>
          </w:tcPr>
          <w:p>
            <w:r>
              <w:rPr>
                <w:b w:val="false"/>
                <w:bCs w:val="false"/>
                <w:color w:val="0B0B0B"/>
                <w:sz w:val="19"/>
                <w:szCs w:val="19"/>
              </w:rPr>
              <w:t xml:space="preserve">Widened 6.16pp in a single quarter (Q4'25→Q1'26)</w:t>
            </w:r>
          </w:p>
        </w:tc>
      </w:tr>
      <w:tr>
        <w:tc>
          <w:tcPr>
            <w:tcW w:type="dxa" w:w="3200"/>
            <w:tcMar>
              <w:top w:type="dxa" w:w="100"/>
              <w:left w:type="dxa" w:w="120"/>
              <w:bottom w:type="dxa" w:w="100"/>
              <w:right w:type="dxa" w:w="120"/>
            </w:tcMar>
          </w:tcPr>
          <w:p>
            <w:r>
              <w:rPr>
                <w:b w:val="false"/>
                <w:bCs w:val="false"/>
                <w:color w:val="0B0B0B"/>
                <w:sz w:val="19"/>
                <w:szCs w:val="19"/>
              </w:rPr>
              <w:t xml:space="preserve">Unrecovered revenue, 2026 Q1</w:t>
            </w:r>
          </w:p>
        </w:tc>
        <w:tc>
          <w:tcPr>
            <w:tcW w:type="dxa" w:w="1600"/>
            <w:tcMar>
              <w:top w:type="dxa" w:w="100"/>
              <w:left w:type="dxa" w:w="120"/>
              <w:bottom w:type="dxa" w:w="100"/>
              <w:right w:type="dxa" w:w="120"/>
            </w:tcMar>
          </w:tcPr>
          <w:p>
            <w:r>
              <w:rPr>
                <w:b w:val="false"/>
                <w:bCs w:val="false"/>
                <w:color w:val="0B0B0B"/>
                <w:sz w:val="19"/>
                <w:szCs w:val="19"/>
              </w:rPr>
              <w:t xml:space="preserve">₦357.6bn</w:t>
            </w:r>
          </w:p>
        </w:tc>
        <w:tc>
          <w:tcPr>
            <w:tcW w:type="dxa" w:w="5280"/>
            <w:tcMar>
              <w:top w:type="dxa" w:w="100"/>
              <w:left w:type="dxa" w:w="120"/>
              <w:bottom w:type="dxa" w:w="100"/>
              <w:right w:type="dxa" w:w="120"/>
            </w:tcMar>
          </w:tcPr>
          <w:p>
            <w:r>
              <w:rPr>
                <w:b w:val="false"/>
                <w:bCs w:val="false"/>
                <w:color w:val="0B0B0B"/>
                <w:sz w:val="19"/>
                <w:szCs w:val="19"/>
              </w:rPr>
              <w:t xml:space="preserve">Against a ₦955.2bn target revenue base</w:t>
            </w:r>
          </w:p>
        </w:tc>
      </w:tr>
      <w:tr>
        <w:tc>
          <w:tcPr>
            <w:tcW w:type="dxa" w:w="3200"/>
            <w:tcMar>
              <w:top w:type="dxa" w:w="100"/>
              <w:left w:type="dxa" w:w="120"/>
              <w:bottom w:type="dxa" w:w="100"/>
              <w:right w:type="dxa" w:w="120"/>
            </w:tcMar>
          </w:tcPr>
          <w:p>
            <w:r>
              <w:rPr>
                <w:b w:val="false"/>
                <w:bCs w:val="false"/>
                <w:color w:val="0B0B0B"/>
                <w:sz w:val="19"/>
                <w:szCs w:val="19"/>
              </w:rPr>
              <w:t xml:space="preserve">DisCos above 40% loss</w:t>
            </w:r>
          </w:p>
        </w:tc>
        <w:tc>
          <w:tcPr>
            <w:tcW w:type="dxa" w:w="1600"/>
            <w:tcMar>
              <w:top w:type="dxa" w:w="100"/>
              <w:left w:type="dxa" w:w="120"/>
              <w:bottom w:type="dxa" w:w="100"/>
              <w:right w:type="dxa" w:w="120"/>
            </w:tcMar>
          </w:tcPr>
          <w:p>
            <w:r>
              <w:rPr>
                <w:b w:val="false"/>
                <w:bCs w:val="false"/>
                <w:color w:val="0B0B0B"/>
                <w:sz w:val="19"/>
                <w:szCs w:val="19"/>
              </w:rPr>
              <w:t xml:space="preserve">6 of 11</w:t>
            </w:r>
          </w:p>
        </w:tc>
        <w:tc>
          <w:tcPr>
            <w:tcW w:type="dxa" w:w="5280"/>
            <w:tcMar>
              <w:top w:type="dxa" w:w="100"/>
              <w:left w:type="dxa" w:w="120"/>
              <w:bottom w:type="dxa" w:w="100"/>
              <w:right w:type="dxa" w:w="120"/>
            </w:tcMar>
          </w:tcPr>
          <w:p>
            <w:r>
              <w:rPr>
                <w:b w:val="false"/>
                <w:bCs w:val="false"/>
                <w:color w:val="0B0B0B"/>
                <w:sz w:val="19"/>
                <w:szCs w:val="19"/>
              </w:rPr>
              <w:t xml:space="preserve">Enugu, Ibadan, Jos, Kaduna, Kano, Yola</w:t>
            </w:r>
          </w:p>
        </w:tc>
      </w:tr>
    </w:tbl>
    <w:p>
      <w:pPr>
        <w:spacing w:after="260"/>
      </w:pPr>
      <w:r>
        <w:rPr>
          <w:sz w:val="22"/>
          <w:szCs w:val="22"/>
        </w:rPr>
        <w:t xml:space="preserve"/>
      </w:r>
    </w:p>
    <w:p>
      <w:pPr>
        <w:spacing w:after="160"/>
      </w:pPr>
      <w:r>
        <w:rPr>
          <w:sz w:val="22"/>
          <w:szCs w:val="22"/>
        </w:rPr>
        <w:t xml:space="preserve">This is GridIQ's read of every NERC quarterly report published since Q1 2022 — seventeen quarters of Aggregate Technical, Commercial &amp; Collection (ATC&amp;C) loss data, cross-checked against billing and collection efficiency, DisCo-level performance, and the Naira value of what regulation says should have been collected and wasn't. The pattern it shows is the one that should worry anyone counting on the next tariff cycle to hold: Nigeria's DisCos got meaningfully better between 2022 and mid-2024, then </w:t>
      </w:r>
      <w:r>
        <w:rPr>
          <w:b/>
          <w:bCs/>
          <w:sz w:val="22"/>
          <w:szCs w:val="22"/>
        </w:rPr>
        <w:t xml:space="preserve">stalled</w:t>
      </w:r>
      <w:r>
        <w:rPr>
          <w:sz w:val="22"/>
          <w:szCs w:val="22"/>
        </w:rPr>
        <w:t xml:space="preserve">, and the last twelve months look more like drift than progress.</w:t>
      </w:r>
    </w:p>
    <w:p>
      <w:pPr>
        <w:pStyle w:val="Heading1"/>
        <w:spacing w:after="160" w:before="420"/>
      </w:pPr>
      <w:r>
        <w:rPr>
          <w:b/>
          <w:bCs/>
          <w:color w:val="0D2438"/>
          <w:sz w:val="27"/>
          <w:szCs w:val="27"/>
        </w:rPr>
        <w:t xml:space="preserve">Five Years, One Broken Curve</w:t>
      </w:r>
    </w:p>
    <w:p>
      <w:pPr>
        <w:spacing w:after="160"/>
      </w:pPr>
      <w:r>
        <w:rPr>
          <w:sz w:val="22"/>
          <w:szCs w:val="22"/>
        </w:rPr>
        <w:t xml:space="preserve">The honest way to read the five-year trend is in two halves. From Q1 2022 (47.88%) to Q2 2024 (34.70%), the improvement is real: a 13.2-point gain driven by the MYTO reset, the shift from the old Minimum Remittance Obligation to the DisCo's Remittance Obligation (DRO) regime, and a genuine metering push. From Q2 2024 onward, that line goes essentially flat and volatile — bouncing between 33.3% and 39.6% for seven straight quarters with no clear direction. Q1 2026's 37.44% sits almost exactly where the sector was two years earlier.</w:t>
      </w:r>
    </w:p>
    <w:p>
      <w:pPr>
        <w:spacing w:after="160"/>
      </w:pPr>
      <w:r>
        <w:rPr>
          <w:sz w:val="22"/>
          <w:szCs w:val="22"/>
        </w:rPr>
        <w:t xml:space="preserve">Annual averages tell the same story more bluntly: 45.76% in 2022, 41.59% in 2023, 36.34% in 2024 — and then 36.43% in 2025, statistically flat against 2024 despite a full year passing and despite MYTO tightening the target by 3.6 points for 2026. At the pace the sector actually improved over the past year, closing the remaining gap to the 2026 target would take roughly eight years, not the one or two the tariff calendar assumes.</w:t>
      </w:r>
    </w:p>
    <w:p>
      <w:pPr>
        <w:spacing w:after="120" w:before="200"/>
      </w:pPr>
      <w:r>
        <w:rPr>
          <w:b/>
          <w:bCs/>
          <w:color w:val="898781"/>
          <w:sz w:val="19"/>
          <w:szCs w:val="19"/>
        </w:rPr>
        <w:t xml:space="preserve">Table 2 · Quarterly ATC&amp;C Loss, 2022 Q1 – 2026 Q1</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400"/>
        <w:gridCol w:w="2400"/>
        <w:gridCol w:w="2400"/>
        <w:gridCol w:w="2880"/>
      </w:tblGrid>
      <w:tr>
        <w:tc>
          <w:tcPr>
            <w:tcW w:type="dxa" w:w="2400"/>
            <w:shd w:fill="0D2438" w:val="clear"/>
            <w:tcMar>
              <w:top w:type="dxa" w:w="100"/>
              <w:left w:type="dxa" w:w="120"/>
              <w:bottom w:type="dxa" w:w="100"/>
              <w:right w:type="dxa" w:w="120"/>
            </w:tcMar>
          </w:tcPr>
          <w:p>
            <w:r>
              <w:rPr>
                <w:b/>
                <w:bCs/>
                <w:color w:val="FFFFFF"/>
                <w:sz w:val="18"/>
                <w:szCs w:val="18"/>
              </w:rPr>
              <w:t xml:space="preserve">Quarter</w:t>
            </w:r>
          </w:p>
        </w:tc>
        <w:tc>
          <w:tcPr>
            <w:tcW w:type="dxa" w:w="2400"/>
            <w:shd w:fill="0D2438" w:val="clear"/>
            <w:tcMar>
              <w:top w:type="dxa" w:w="100"/>
              <w:left w:type="dxa" w:w="120"/>
              <w:bottom w:type="dxa" w:w="100"/>
              <w:right w:type="dxa" w:w="120"/>
            </w:tcMar>
          </w:tcPr>
          <w:p>
            <w:r>
              <w:rPr>
                <w:b/>
                <w:bCs/>
                <w:color w:val="FFFFFF"/>
                <w:sz w:val="18"/>
                <w:szCs w:val="18"/>
              </w:rPr>
              <w:t xml:space="preserve">ATC&amp;C loss</w:t>
            </w:r>
          </w:p>
        </w:tc>
        <w:tc>
          <w:tcPr>
            <w:tcW w:type="dxa" w:w="2400"/>
            <w:shd w:fill="0D2438" w:val="clear"/>
            <w:tcMar>
              <w:top w:type="dxa" w:w="100"/>
              <w:left w:type="dxa" w:w="120"/>
              <w:bottom w:type="dxa" w:w="100"/>
              <w:right w:type="dxa" w:w="120"/>
            </w:tcMar>
          </w:tcPr>
          <w:p>
            <w:r>
              <w:rPr>
                <w:b/>
                <w:bCs/>
                <w:color w:val="FFFFFF"/>
                <w:sz w:val="18"/>
                <w:szCs w:val="18"/>
              </w:rPr>
              <w:t xml:space="preserve">MYTO target</w:t>
            </w:r>
          </w:p>
        </w:tc>
        <w:tc>
          <w:tcPr>
            <w:tcW w:type="dxa" w:w="2880"/>
            <w:shd w:fill="0D2438" w:val="clear"/>
            <w:tcMar>
              <w:top w:type="dxa" w:w="100"/>
              <w:left w:type="dxa" w:w="120"/>
              <w:bottom w:type="dxa" w:w="100"/>
              <w:right w:type="dxa" w:w="120"/>
            </w:tcMar>
          </w:tcPr>
          <w:p>
            <w:r>
              <w:rPr>
                <w:b/>
                <w:bCs/>
                <w:color w:val="FFFFFF"/>
                <w:sz w:val="18"/>
                <w:szCs w:val="18"/>
              </w:rPr>
              <w:t xml:space="preserve">Gap to target</w:t>
            </w:r>
          </w:p>
        </w:tc>
      </w:tr>
      <w:tr>
        <w:tc>
          <w:tcPr>
            <w:tcW w:type="dxa" w:w="2400"/>
            <w:tcMar>
              <w:top w:type="dxa" w:w="100"/>
              <w:left w:type="dxa" w:w="120"/>
              <w:bottom w:type="dxa" w:w="100"/>
              <w:right w:type="dxa" w:w="120"/>
            </w:tcMar>
          </w:tcPr>
          <w:p>
            <w:r>
              <w:rPr>
                <w:b w:val="false"/>
                <w:bCs w:val="false"/>
                <w:color w:val="0B0B0B"/>
                <w:sz w:val="19"/>
                <w:szCs w:val="19"/>
              </w:rPr>
              <w:t xml:space="preserve">22Q1</w:t>
            </w:r>
          </w:p>
        </w:tc>
        <w:tc>
          <w:tcPr>
            <w:tcW w:type="dxa" w:w="2400"/>
            <w:tcMar>
              <w:top w:type="dxa" w:w="100"/>
              <w:left w:type="dxa" w:w="120"/>
              <w:bottom w:type="dxa" w:w="100"/>
              <w:right w:type="dxa" w:w="120"/>
            </w:tcMar>
          </w:tcPr>
          <w:p>
            <w:r>
              <w:rPr>
                <w:b w:val="false"/>
                <w:bCs w:val="false"/>
                <w:color w:val="0B0B0B"/>
                <w:sz w:val="19"/>
                <w:szCs w:val="19"/>
              </w:rPr>
              <w:t xml:space="preserve">47.88%</w:t>
            </w:r>
          </w:p>
        </w:tc>
        <w:tc>
          <w:tcPr>
            <w:tcW w:type="dxa" w:w="2400"/>
            <w:tcMar>
              <w:top w:type="dxa" w:w="100"/>
              <w:left w:type="dxa" w:w="120"/>
              <w:bottom w:type="dxa" w:w="100"/>
              <w:right w:type="dxa" w:w="120"/>
            </w:tcMar>
          </w:tcPr>
          <w:p>
            <w:r>
              <w:rPr>
                <w:b w:val="false"/>
                <w:bCs w:val="false"/>
                <w:color w:val="0B0B0B"/>
                <w:sz w:val="19"/>
                <w:szCs w:val="19"/>
              </w:rPr>
              <w:t xml:space="preserve">—</w:t>
            </w:r>
          </w:p>
        </w:tc>
        <w:tc>
          <w:tcPr>
            <w:tcW w:type="dxa" w:w="2880"/>
            <w:tcMar>
              <w:top w:type="dxa" w:w="100"/>
              <w:left w:type="dxa" w:w="120"/>
              <w:bottom w:type="dxa" w:w="100"/>
              <w:right w:type="dxa" w:w="120"/>
            </w:tcMar>
          </w:tcPr>
          <w:p>
            <w:r>
              <w:rPr>
                <w:b w:val="false"/>
                <w:bCs w:val="false"/>
                <w:color w:val="0B0B0B"/>
                <w:sz w:val="19"/>
                <w:szCs w:val="19"/>
              </w:rPr>
              <w:t xml:space="preserve">—</w:t>
            </w:r>
          </w:p>
        </w:tc>
      </w:tr>
      <w:tr>
        <w:tc>
          <w:tcPr>
            <w:tcW w:type="dxa" w:w="2400"/>
            <w:tcMar>
              <w:top w:type="dxa" w:w="100"/>
              <w:left w:type="dxa" w:w="120"/>
              <w:bottom w:type="dxa" w:w="100"/>
              <w:right w:type="dxa" w:w="120"/>
            </w:tcMar>
          </w:tcPr>
          <w:p>
            <w:r>
              <w:rPr>
                <w:b w:val="false"/>
                <w:bCs w:val="false"/>
                <w:color w:val="0B0B0B"/>
                <w:sz w:val="19"/>
                <w:szCs w:val="19"/>
              </w:rPr>
              <w:t xml:space="preserve">22Q2</w:t>
            </w:r>
          </w:p>
        </w:tc>
        <w:tc>
          <w:tcPr>
            <w:tcW w:type="dxa" w:w="2400"/>
            <w:tcMar>
              <w:top w:type="dxa" w:w="100"/>
              <w:left w:type="dxa" w:w="120"/>
              <w:bottom w:type="dxa" w:w="100"/>
              <w:right w:type="dxa" w:w="120"/>
            </w:tcMar>
          </w:tcPr>
          <w:p>
            <w:r>
              <w:rPr>
                <w:b w:val="false"/>
                <w:bCs w:val="false"/>
                <w:color w:val="0B0B0B"/>
                <w:sz w:val="19"/>
                <w:szCs w:val="19"/>
              </w:rPr>
              <w:t xml:space="preserve">44.60%</w:t>
            </w:r>
          </w:p>
        </w:tc>
        <w:tc>
          <w:tcPr>
            <w:tcW w:type="dxa" w:w="2400"/>
            <w:tcMar>
              <w:top w:type="dxa" w:w="100"/>
              <w:left w:type="dxa" w:w="120"/>
              <w:bottom w:type="dxa" w:w="100"/>
              <w:right w:type="dxa" w:w="120"/>
            </w:tcMar>
          </w:tcPr>
          <w:p>
            <w:r>
              <w:rPr>
                <w:b w:val="false"/>
                <w:bCs w:val="false"/>
                <w:color w:val="0B0B0B"/>
                <w:sz w:val="19"/>
                <w:szCs w:val="19"/>
              </w:rPr>
              <w:t xml:space="preserve">—</w:t>
            </w:r>
          </w:p>
        </w:tc>
        <w:tc>
          <w:tcPr>
            <w:tcW w:type="dxa" w:w="2880"/>
            <w:tcMar>
              <w:top w:type="dxa" w:w="100"/>
              <w:left w:type="dxa" w:w="120"/>
              <w:bottom w:type="dxa" w:w="100"/>
              <w:right w:type="dxa" w:w="120"/>
            </w:tcMar>
          </w:tcPr>
          <w:p>
            <w:r>
              <w:rPr>
                <w:b w:val="false"/>
                <w:bCs w:val="false"/>
                <w:color w:val="0B0B0B"/>
                <w:sz w:val="19"/>
                <w:szCs w:val="19"/>
              </w:rPr>
              <w:t xml:space="preserve">—</w:t>
            </w:r>
          </w:p>
        </w:tc>
      </w:tr>
      <w:tr>
        <w:tc>
          <w:tcPr>
            <w:tcW w:type="dxa" w:w="2400"/>
            <w:tcMar>
              <w:top w:type="dxa" w:w="100"/>
              <w:left w:type="dxa" w:w="120"/>
              <w:bottom w:type="dxa" w:w="100"/>
              <w:right w:type="dxa" w:w="120"/>
            </w:tcMar>
          </w:tcPr>
          <w:p>
            <w:r>
              <w:rPr>
                <w:b w:val="false"/>
                <w:bCs w:val="false"/>
                <w:color w:val="0B0B0B"/>
                <w:sz w:val="19"/>
                <w:szCs w:val="19"/>
              </w:rPr>
              <w:t xml:space="preserve">22Q3</w:t>
            </w:r>
          </w:p>
        </w:tc>
        <w:tc>
          <w:tcPr>
            <w:tcW w:type="dxa" w:w="2400"/>
            <w:tcMar>
              <w:top w:type="dxa" w:w="100"/>
              <w:left w:type="dxa" w:w="120"/>
              <w:bottom w:type="dxa" w:w="100"/>
              <w:right w:type="dxa" w:w="120"/>
            </w:tcMar>
          </w:tcPr>
          <w:p>
            <w:r>
              <w:rPr>
                <w:b w:val="false"/>
                <w:bCs w:val="false"/>
                <w:color w:val="0B0B0B"/>
                <w:sz w:val="19"/>
                <w:szCs w:val="19"/>
              </w:rPr>
              <w:t xml:space="preserve">46.42%</w:t>
            </w:r>
          </w:p>
        </w:tc>
        <w:tc>
          <w:tcPr>
            <w:tcW w:type="dxa" w:w="2400"/>
            <w:tcMar>
              <w:top w:type="dxa" w:w="100"/>
              <w:left w:type="dxa" w:w="120"/>
              <w:bottom w:type="dxa" w:w="100"/>
              <w:right w:type="dxa" w:w="120"/>
            </w:tcMar>
          </w:tcPr>
          <w:p>
            <w:r>
              <w:rPr>
                <w:b w:val="false"/>
                <w:bCs w:val="false"/>
                <w:color w:val="0B0B0B"/>
                <w:sz w:val="19"/>
                <w:szCs w:val="19"/>
              </w:rPr>
              <w:t xml:space="preserve">—</w:t>
            </w:r>
          </w:p>
        </w:tc>
        <w:tc>
          <w:tcPr>
            <w:tcW w:type="dxa" w:w="2880"/>
            <w:tcMar>
              <w:top w:type="dxa" w:w="100"/>
              <w:left w:type="dxa" w:w="120"/>
              <w:bottom w:type="dxa" w:w="100"/>
              <w:right w:type="dxa" w:w="120"/>
            </w:tcMar>
          </w:tcPr>
          <w:p>
            <w:r>
              <w:rPr>
                <w:b w:val="false"/>
                <w:bCs w:val="false"/>
                <w:color w:val="0B0B0B"/>
                <w:sz w:val="19"/>
                <w:szCs w:val="19"/>
              </w:rPr>
              <w:t xml:space="preserve">—</w:t>
            </w:r>
          </w:p>
        </w:tc>
      </w:tr>
      <w:tr>
        <w:tc>
          <w:tcPr>
            <w:tcW w:type="dxa" w:w="2400"/>
            <w:tcMar>
              <w:top w:type="dxa" w:w="100"/>
              <w:left w:type="dxa" w:w="120"/>
              <w:bottom w:type="dxa" w:w="100"/>
              <w:right w:type="dxa" w:w="120"/>
            </w:tcMar>
          </w:tcPr>
          <w:p>
            <w:r>
              <w:rPr>
                <w:b w:val="false"/>
                <w:bCs w:val="false"/>
                <w:color w:val="0B0B0B"/>
                <w:sz w:val="19"/>
                <w:szCs w:val="19"/>
              </w:rPr>
              <w:t xml:space="preserve">22Q4</w:t>
            </w:r>
          </w:p>
        </w:tc>
        <w:tc>
          <w:tcPr>
            <w:tcW w:type="dxa" w:w="2400"/>
            <w:tcMar>
              <w:top w:type="dxa" w:w="100"/>
              <w:left w:type="dxa" w:w="120"/>
              <w:bottom w:type="dxa" w:w="100"/>
              <w:right w:type="dxa" w:w="120"/>
            </w:tcMar>
          </w:tcPr>
          <w:p>
            <w:r>
              <w:rPr>
                <w:b w:val="false"/>
                <w:bCs w:val="false"/>
                <w:color w:val="0B0B0B"/>
                <w:sz w:val="19"/>
                <w:szCs w:val="19"/>
              </w:rPr>
              <w:t xml:space="preserve">44.15%</w:t>
            </w:r>
          </w:p>
        </w:tc>
        <w:tc>
          <w:tcPr>
            <w:tcW w:type="dxa" w:w="2400"/>
            <w:tcMar>
              <w:top w:type="dxa" w:w="100"/>
              <w:left w:type="dxa" w:w="120"/>
              <w:bottom w:type="dxa" w:w="100"/>
              <w:right w:type="dxa" w:w="120"/>
            </w:tcMar>
          </w:tcPr>
          <w:p>
            <w:r>
              <w:rPr>
                <w:b w:val="false"/>
                <w:bCs w:val="false"/>
                <w:color w:val="0B0B0B"/>
                <w:sz w:val="19"/>
                <w:szCs w:val="19"/>
              </w:rPr>
              <w:t xml:space="preserve">—</w:t>
            </w:r>
          </w:p>
        </w:tc>
        <w:tc>
          <w:tcPr>
            <w:tcW w:type="dxa" w:w="2880"/>
            <w:tcMar>
              <w:top w:type="dxa" w:w="100"/>
              <w:left w:type="dxa" w:w="120"/>
              <w:bottom w:type="dxa" w:w="100"/>
              <w:right w:type="dxa" w:w="120"/>
            </w:tcMar>
          </w:tcPr>
          <w:p>
            <w:r>
              <w:rPr>
                <w:b w:val="false"/>
                <w:bCs w:val="false"/>
                <w:color w:val="0B0B0B"/>
                <w:sz w:val="19"/>
                <w:szCs w:val="19"/>
              </w:rPr>
              <w:t xml:space="preserve">—</w:t>
            </w:r>
          </w:p>
        </w:tc>
      </w:tr>
      <w:tr>
        <w:tc>
          <w:tcPr>
            <w:tcW w:type="dxa" w:w="2400"/>
            <w:tcMar>
              <w:top w:type="dxa" w:w="100"/>
              <w:left w:type="dxa" w:w="120"/>
              <w:bottom w:type="dxa" w:w="100"/>
              <w:right w:type="dxa" w:w="120"/>
            </w:tcMar>
          </w:tcPr>
          <w:p>
            <w:r>
              <w:rPr>
                <w:b w:val="false"/>
                <w:bCs w:val="false"/>
                <w:color w:val="0B0B0B"/>
                <w:sz w:val="19"/>
                <w:szCs w:val="19"/>
              </w:rPr>
              <w:t xml:space="preserve">23Q1</w:t>
            </w:r>
          </w:p>
        </w:tc>
        <w:tc>
          <w:tcPr>
            <w:tcW w:type="dxa" w:w="2400"/>
            <w:tcMar>
              <w:top w:type="dxa" w:w="100"/>
              <w:left w:type="dxa" w:w="120"/>
              <w:bottom w:type="dxa" w:w="100"/>
              <w:right w:type="dxa" w:w="120"/>
            </w:tcMar>
          </w:tcPr>
          <w:p>
            <w:r>
              <w:rPr>
                <w:b w:val="false"/>
                <w:bCs w:val="false"/>
                <w:color w:val="0B0B0B"/>
                <w:sz w:val="19"/>
                <w:szCs w:val="19"/>
              </w:rPr>
              <w:t xml:space="preserve">46.39%</w:t>
            </w:r>
          </w:p>
        </w:tc>
        <w:tc>
          <w:tcPr>
            <w:tcW w:type="dxa" w:w="2400"/>
            <w:tcMar>
              <w:top w:type="dxa" w:w="100"/>
              <w:left w:type="dxa" w:w="120"/>
              <w:bottom w:type="dxa" w:w="100"/>
              <w:right w:type="dxa" w:w="120"/>
            </w:tcMar>
          </w:tcPr>
          <w:p>
            <w:r>
              <w:rPr>
                <w:b w:val="false"/>
                <w:bCs w:val="false"/>
                <w:color w:val="0B0B0B"/>
                <w:sz w:val="19"/>
                <w:szCs w:val="19"/>
              </w:rPr>
              <w:t xml:space="preserve">—</w:t>
            </w:r>
          </w:p>
        </w:tc>
        <w:tc>
          <w:tcPr>
            <w:tcW w:type="dxa" w:w="2880"/>
            <w:tcMar>
              <w:top w:type="dxa" w:w="100"/>
              <w:left w:type="dxa" w:w="120"/>
              <w:bottom w:type="dxa" w:w="100"/>
              <w:right w:type="dxa" w:w="120"/>
            </w:tcMar>
          </w:tcPr>
          <w:p>
            <w:r>
              <w:rPr>
                <w:b w:val="false"/>
                <w:bCs w:val="false"/>
                <w:color w:val="0B0B0B"/>
                <w:sz w:val="19"/>
                <w:szCs w:val="19"/>
              </w:rPr>
              <w:t xml:space="preserve">—</w:t>
            </w:r>
          </w:p>
        </w:tc>
      </w:tr>
      <w:tr>
        <w:tc>
          <w:tcPr>
            <w:tcW w:type="dxa" w:w="2400"/>
            <w:tcMar>
              <w:top w:type="dxa" w:w="100"/>
              <w:left w:type="dxa" w:w="120"/>
              <w:bottom w:type="dxa" w:w="100"/>
              <w:right w:type="dxa" w:w="120"/>
            </w:tcMar>
          </w:tcPr>
          <w:p>
            <w:r>
              <w:rPr>
                <w:b w:val="false"/>
                <w:bCs w:val="false"/>
                <w:color w:val="0B0B0B"/>
                <w:sz w:val="19"/>
                <w:szCs w:val="19"/>
              </w:rPr>
              <w:t xml:space="preserve">23Q2</w:t>
            </w:r>
          </w:p>
        </w:tc>
        <w:tc>
          <w:tcPr>
            <w:tcW w:type="dxa" w:w="2400"/>
            <w:tcMar>
              <w:top w:type="dxa" w:w="100"/>
              <w:left w:type="dxa" w:w="120"/>
              <w:bottom w:type="dxa" w:w="100"/>
              <w:right w:type="dxa" w:w="120"/>
            </w:tcMar>
          </w:tcPr>
          <w:p>
            <w:r>
              <w:rPr>
                <w:b w:val="false"/>
                <w:bCs w:val="false"/>
                <w:color w:val="0B0B0B"/>
                <w:sz w:val="19"/>
                <w:szCs w:val="19"/>
              </w:rPr>
              <w:t xml:space="preserve">38.41%</w:t>
            </w:r>
          </w:p>
        </w:tc>
        <w:tc>
          <w:tcPr>
            <w:tcW w:type="dxa" w:w="2400"/>
            <w:tcMar>
              <w:top w:type="dxa" w:w="100"/>
              <w:left w:type="dxa" w:w="120"/>
              <w:bottom w:type="dxa" w:w="100"/>
              <w:right w:type="dxa" w:w="120"/>
            </w:tcMar>
          </w:tcPr>
          <w:p>
            <w:r>
              <w:rPr>
                <w:b w:val="false"/>
                <w:bCs w:val="false"/>
                <w:color w:val="0B0B0B"/>
                <w:sz w:val="19"/>
                <w:szCs w:val="19"/>
              </w:rPr>
              <w:t xml:space="preserve">—</w:t>
            </w:r>
          </w:p>
        </w:tc>
        <w:tc>
          <w:tcPr>
            <w:tcW w:type="dxa" w:w="2880"/>
            <w:tcMar>
              <w:top w:type="dxa" w:w="100"/>
              <w:left w:type="dxa" w:w="120"/>
              <w:bottom w:type="dxa" w:w="100"/>
              <w:right w:type="dxa" w:w="120"/>
            </w:tcMar>
          </w:tcPr>
          <w:p>
            <w:r>
              <w:rPr>
                <w:b w:val="false"/>
                <w:bCs w:val="false"/>
                <w:color w:val="0B0B0B"/>
                <w:sz w:val="19"/>
                <w:szCs w:val="19"/>
              </w:rPr>
              <w:t xml:space="preserve">—</w:t>
            </w:r>
          </w:p>
        </w:tc>
      </w:tr>
      <w:tr>
        <w:tc>
          <w:tcPr>
            <w:tcW w:type="dxa" w:w="2400"/>
            <w:tcMar>
              <w:top w:type="dxa" w:w="100"/>
              <w:left w:type="dxa" w:w="120"/>
              <w:bottom w:type="dxa" w:w="100"/>
              <w:right w:type="dxa" w:w="120"/>
            </w:tcMar>
          </w:tcPr>
          <w:p>
            <w:r>
              <w:rPr>
                <w:b w:val="false"/>
                <w:bCs w:val="false"/>
                <w:color w:val="0B0B0B"/>
                <w:sz w:val="19"/>
                <w:szCs w:val="19"/>
              </w:rPr>
              <w:t xml:space="preserve">23Q3</w:t>
            </w:r>
          </w:p>
        </w:tc>
        <w:tc>
          <w:tcPr>
            <w:tcW w:type="dxa" w:w="2400"/>
            <w:tcMar>
              <w:top w:type="dxa" w:w="100"/>
              <w:left w:type="dxa" w:w="120"/>
              <w:bottom w:type="dxa" w:w="100"/>
              <w:right w:type="dxa" w:w="120"/>
            </w:tcMar>
          </w:tcPr>
          <w:p>
            <w:r>
              <w:rPr>
                <w:b w:val="false"/>
                <w:bCs w:val="false"/>
                <w:color w:val="0B0B0B"/>
                <w:sz w:val="19"/>
                <w:szCs w:val="19"/>
              </w:rPr>
              <w:t xml:space="preserve">39.45%</w:t>
            </w:r>
          </w:p>
        </w:tc>
        <w:tc>
          <w:tcPr>
            <w:tcW w:type="dxa" w:w="2400"/>
            <w:tcMar>
              <w:top w:type="dxa" w:w="100"/>
              <w:left w:type="dxa" w:w="120"/>
              <w:bottom w:type="dxa" w:w="100"/>
              <w:right w:type="dxa" w:w="120"/>
            </w:tcMar>
          </w:tcPr>
          <w:p>
            <w:r>
              <w:rPr>
                <w:b w:val="false"/>
                <w:bCs w:val="false"/>
                <w:color w:val="0B0B0B"/>
                <w:sz w:val="19"/>
                <w:szCs w:val="19"/>
              </w:rPr>
              <w:t xml:space="preserve">—</w:t>
            </w:r>
          </w:p>
        </w:tc>
        <w:tc>
          <w:tcPr>
            <w:tcW w:type="dxa" w:w="2880"/>
            <w:tcMar>
              <w:top w:type="dxa" w:w="100"/>
              <w:left w:type="dxa" w:w="120"/>
              <w:bottom w:type="dxa" w:w="100"/>
              <w:right w:type="dxa" w:w="120"/>
            </w:tcMar>
          </w:tcPr>
          <w:p>
            <w:r>
              <w:rPr>
                <w:b w:val="false"/>
                <w:bCs w:val="false"/>
                <w:color w:val="0B0B0B"/>
                <w:sz w:val="19"/>
                <w:szCs w:val="19"/>
              </w:rPr>
              <w:t xml:space="preserve">—</w:t>
            </w:r>
          </w:p>
        </w:tc>
      </w:tr>
      <w:tr>
        <w:tc>
          <w:tcPr>
            <w:tcW w:type="dxa" w:w="2400"/>
            <w:tcMar>
              <w:top w:type="dxa" w:w="100"/>
              <w:left w:type="dxa" w:w="120"/>
              <w:bottom w:type="dxa" w:w="100"/>
              <w:right w:type="dxa" w:w="120"/>
            </w:tcMar>
          </w:tcPr>
          <w:p>
            <w:r>
              <w:rPr>
                <w:b w:val="false"/>
                <w:bCs w:val="false"/>
                <w:color w:val="0B0B0B"/>
                <w:sz w:val="19"/>
                <w:szCs w:val="19"/>
              </w:rPr>
              <w:t xml:space="preserve">23Q4</w:t>
            </w:r>
          </w:p>
        </w:tc>
        <w:tc>
          <w:tcPr>
            <w:tcW w:type="dxa" w:w="2400"/>
            <w:tcMar>
              <w:top w:type="dxa" w:w="100"/>
              <w:left w:type="dxa" w:w="120"/>
              <w:bottom w:type="dxa" w:w="100"/>
              <w:right w:type="dxa" w:w="120"/>
            </w:tcMar>
          </w:tcPr>
          <w:p>
            <w:r>
              <w:rPr>
                <w:b w:val="false"/>
                <w:bCs w:val="false"/>
                <w:color w:val="0B0B0B"/>
                <w:sz w:val="19"/>
                <w:szCs w:val="19"/>
              </w:rPr>
              <w:t xml:space="preserve">42.11%</w:t>
            </w:r>
          </w:p>
        </w:tc>
        <w:tc>
          <w:tcPr>
            <w:tcW w:type="dxa" w:w="2400"/>
            <w:tcMar>
              <w:top w:type="dxa" w:w="100"/>
              <w:left w:type="dxa" w:w="120"/>
              <w:bottom w:type="dxa" w:w="100"/>
              <w:right w:type="dxa" w:w="120"/>
            </w:tcMar>
          </w:tcPr>
          <w:p>
            <w:r>
              <w:rPr>
                <w:b w:val="false"/>
                <w:bCs w:val="false"/>
                <w:color w:val="0B0B0B"/>
                <w:sz w:val="19"/>
                <w:szCs w:val="19"/>
              </w:rPr>
              <w:t xml:space="preserve">—</w:t>
            </w:r>
          </w:p>
        </w:tc>
        <w:tc>
          <w:tcPr>
            <w:tcW w:type="dxa" w:w="2880"/>
            <w:tcMar>
              <w:top w:type="dxa" w:w="100"/>
              <w:left w:type="dxa" w:w="120"/>
              <w:bottom w:type="dxa" w:w="100"/>
              <w:right w:type="dxa" w:w="120"/>
            </w:tcMar>
          </w:tcPr>
          <w:p>
            <w:r>
              <w:rPr>
                <w:b w:val="false"/>
                <w:bCs w:val="false"/>
                <w:color w:val="0B0B0B"/>
                <w:sz w:val="19"/>
                <w:szCs w:val="19"/>
              </w:rPr>
              <w:t xml:space="preserve">—</w:t>
            </w:r>
          </w:p>
        </w:tc>
      </w:tr>
      <w:tr>
        <w:tc>
          <w:tcPr>
            <w:tcW w:type="dxa" w:w="2400"/>
            <w:tcMar>
              <w:top w:type="dxa" w:w="100"/>
              <w:left w:type="dxa" w:w="120"/>
              <w:bottom w:type="dxa" w:w="100"/>
              <w:right w:type="dxa" w:w="120"/>
            </w:tcMar>
          </w:tcPr>
          <w:p>
            <w:r>
              <w:rPr>
                <w:b w:val="false"/>
                <w:bCs w:val="false"/>
                <w:color w:val="0B0B0B"/>
                <w:sz w:val="19"/>
                <w:szCs w:val="19"/>
              </w:rPr>
              <w:t xml:space="preserve">24Q1</w:t>
            </w:r>
          </w:p>
        </w:tc>
        <w:tc>
          <w:tcPr>
            <w:tcW w:type="dxa" w:w="2400"/>
            <w:tcMar>
              <w:top w:type="dxa" w:w="100"/>
              <w:left w:type="dxa" w:w="120"/>
              <w:bottom w:type="dxa" w:w="100"/>
              <w:right w:type="dxa" w:w="120"/>
            </w:tcMar>
          </w:tcPr>
          <w:p>
            <w:r>
              <w:rPr>
                <w:b w:val="false"/>
                <w:bCs w:val="false"/>
                <w:color w:val="0B0B0B"/>
                <w:sz w:val="19"/>
                <w:szCs w:val="19"/>
              </w:rPr>
              <w:t xml:space="preserve">36.36%</w:t>
            </w:r>
          </w:p>
        </w:tc>
        <w:tc>
          <w:tcPr>
            <w:tcW w:type="dxa" w:w="2400"/>
            <w:tcMar>
              <w:top w:type="dxa" w:w="100"/>
              <w:left w:type="dxa" w:w="120"/>
              <w:bottom w:type="dxa" w:w="100"/>
              <w:right w:type="dxa" w:w="120"/>
            </w:tcMar>
          </w:tcPr>
          <w:p>
            <w:r>
              <w:rPr>
                <w:b w:val="false"/>
                <w:bCs w:val="false"/>
                <w:color w:val="0B0B0B"/>
                <w:sz w:val="19"/>
                <w:szCs w:val="19"/>
              </w:rPr>
              <w:t xml:space="preserve">—</w:t>
            </w:r>
          </w:p>
        </w:tc>
        <w:tc>
          <w:tcPr>
            <w:tcW w:type="dxa" w:w="2880"/>
            <w:tcMar>
              <w:top w:type="dxa" w:w="100"/>
              <w:left w:type="dxa" w:w="120"/>
              <w:bottom w:type="dxa" w:w="100"/>
              <w:right w:type="dxa" w:w="120"/>
            </w:tcMar>
          </w:tcPr>
          <w:p>
            <w:r>
              <w:rPr>
                <w:b w:val="false"/>
                <w:bCs w:val="false"/>
                <w:color w:val="0B0B0B"/>
                <w:sz w:val="19"/>
                <w:szCs w:val="19"/>
              </w:rPr>
              <w:t xml:space="preserve">—</w:t>
            </w:r>
          </w:p>
        </w:tc>
      </w:tr>
      <w:tr>
        <w:tc>
          <w:tcPr>
            <w:tcW w:type="dxa" w:w="2400"/>
            <w:tcMar>
              <w:top w:type="dxa" w:w="100"/>
              <w:left w:type="dxa" w:w="120"/>
              <w:bottom w:type="dxa" w:w="100"/>
              <w:right w:type="dxa" w:w="120"/>
            </w:tcMar>
          </w:tcPr>
          <w:p>
            <w:r>
              <w:rPr>
                <w:b w:val="false"/>
                <w:bCs w:val="false"/>
                <w:color w:val="0B0B0B"/>
                <w:sz w:val="19"/>
                <w:szCs w:val="19"/>
              </w:rPr>
              <w:t xml:space="preserve">24Q2</w:t>
            </w:r>
          </w:p>
        </w:tc>
        <w:tc>
          <w:tcPr>
            <w:tcW w:type="dxa" w:w="2400"/>
            <w:tcMar>
              <w:top w:type="dxa" w:w="100"/>
              <w:left w:type="dxa" w:w="120"/>
              <w:bottom w:type="dxa" w:w="100"/>
              <w:right w:type="dxa" w:w="120"/>
            </w:tcMar>
          </w:tcPr>
          <w:p>
            <w:r>
              <w:rPr>
                <w:b w:val="false"/>
                <w:bCs w:val="false"/>
                <w:color w:val="0B0B0B"/>
                <w:sz w:val="19"/>
                <w:szCs w:val="19"/>
              </w:rPr>
              <w:t xml:space="preserve">34.70%</w:t>
            </w:r>
          </w:p>
        </w:tc>
        <w:tc>
          <w:tcPr>
            <w:tcW w:type="dxa" w:w="2400"/>
            <w:tcMar>
              <w:top w:type="dxa" w:w="100"/>
              <w:left w:type="dxa" w:w="120"/>
              <w:bottom w:type="dxa" w:w="100"/>
              <w:right w:type="dxa" w:w="120"/>
            </w:tcMar>
          </w:tcPr>
          <w:p>
            <w:r>
              <w:rPr>
                <w:b w:val="false"/>
                <w:bCs w:val="false"/>
                <w:color w:val="0B0B0B"/>
                <w:sz w:val="19"/>
                <w:szCs w:val="19"/>
              </w:rPr>
              <w:t xml:space="preserve">—</w:t>
            </w:r>
          </w:p>
        </w:tc>
        <w:tc>
          <w:tcPr>
            <w:tcW w:type="dxa" w:w="2880"/>
            <w:tcMar>
              <w:top w:type="dxa" w:w="100"/>
              <w:left w:type="dxa" w:w="120"/>
              <w:bottom w:type="dxa" w:w="100"/>
              <w:right w:type="dxa" w:w="120"/>
            </w:tcMar>
          </w:tcPr>
          <w:p>
            <w:r>
              <w:rPr>
                <w:b w:val="false"/>
                <w:bCs w:val="false"/>
                <w:color w:val="0B0B0B"/>
                <w:sz w:val="19"/>
                <w:szCs w:val="19"/>
              </w:rPr>
              <w:t xml:space="preserve">—</w:t>
            </w:r>
          </w:p>
        </w:tc>
      </w:tr>
      <w:tr>
        <w:tc>
          <w:tcPr>
            <w:tcW w:type="dxa" w:w="2400"/>
            <w:tcMar>
              <w:top w:type="dxa" w:w="100"/>
              <w:left w:type="dxa" w:w="120"/>
              <w:bottom w:type="dxa" w:w="100"/>
              <w:right w:type="dxa" w:w="120"/>
            </w:tcMar>
          </w:tcPr>
          <w:p>
            <w:r>
              <w:rPr>
                <w:b w:val="false"/>
                <w:bCs w:val="false"/>
                <w:color w:val="0B0B0B"/>
                <w:sz w:val="19"/>
                <w:szCs w:val="19"/>
              </w:rPr>
              <w:t xml:space="preserve">24Q3</w:t>
            </w:r>
          </w:p>
        </w:tc>
        <w:tc>
          <w:tcPr>
            <w:tcW w:type="dxa" w:w="2400"/>
            <w:tcMar>
              <w:top w:type="dxa" w:w="100"/>
              <w:left w:type="dxa" w:w="120"/>
              <w:bottom w:type="dxa" w:w="100"/>
              <w:right w:type="dxa" w:w="120"/>
            </w:tcMar>
          </w:tcPr>
          <w:p>
            <w:r>
              <w:rPr>
                <w:b w:val="false"/>
                <w:bCs w:val="false"/>
                <w:color w:val="0B0B0B"/>
                <w:sz w:val="19"/>
                <w:szCs w:val="19"/>
              </w:rPr>
              <w:t xml:space="preserve">39.10%</w:t>
            </w:r>
          </w:p>
        </w:tc>
        <w:tc>
          <w:tcPr>
            <w:tcW w:type="dxa" w:w="2400"/>
            <w:tcMar>
              <w:top w:type="dxa" w:w="100"/>
              <w:left w:type="dxa" w:w="120"/>
              <w:bottom w:type="dxa" w:w="100"/>
              <w:right w:type="dxa" w:w="120"/>
            </w:tcMar>
          </w:tcPr>
          <w:p>
            <w:r>
              <w:rPr>
                <w:b w:val="false"/>
                <w:bCs w:val="false"/>
                <w:color w:val="0B0B0B"/>
                <w:sz w:val="19"/>
                <w:szCs w:val="19"/>
              </w:rPr>
              <w:t xml:space="preserve">—</w:t>
            </w:r>
          </w:p>
        </w:tc>
        <w:tc>
          <w:tcPr>
            <w:tcW w:type="dxa" w:w="2880"/>
            <w:tcMar>
              <w:top w:type="dxa" w:w="100"/>
              <w:left w:type="dxa" w:w="120"/>
              <w:bottom w:type="dxa" w:w="100"/>
              <w:right w:type="dxa" w:w="120"/>
            </w:tcMar>
          </w:tcPr>
          <w:p>
            <w:r>
              <w:rPr>
                <w:b w:val="false"/>
                <w:bCs w:val="false"/>
                <w:color w:val="0B0B0B"/>
                <w:sz w:val="19"/>
                <w:szCs w:val="19"/>
              </w:rPr>
              <w:t xml:space="preserve">—</w:t>
            </w:r>
          </w:p>
        </w:tc>
      </w:tr>
      <w:tr>
        <w:tc>
          <w:tcPr>
            <w:tcW w:type="dxa" w:w="2400"/>
            <w:tcMar>
              <w:top w:type="dxa" w:w="100"/>
              <w:left w:type="dxa" w:w="120"/>
              <w:bottom w:type="dxa" w:w="100"/>
              <w:right w:type="dxa" w:w="120"/>
            </w:tcMar>
          </w:tcPr>
          <w:p>
            <w:r>
              <w:rPr>
                <w:b w:val="false"/>
                <w:bCs w:val="false"/>
                <w:color w:val="0B0B0B"/>
                <w:sz w:val="19"/>
                <w:szCs w:val="19"/>
              </w:rPr>
              <w:t xml:space="preserve">24Q4</w:t>
            </w:r>
          </w:p>
        </w:tc>
        <w:tc>
          <w:tcPr>
            <w:tcW w:type="dxa" w:w="2400"/>
            <w:tcMar>
              <w:top w:type="dxa" w:w="100"/>
              <w:left w:type="dxa" w:w="120"/>
              <w:bottom w:type="dxa" w:w="100"/>
              <w:right w:type="dxa" w:w="120"/>
            </w:tcMar>
          </w:tcPr>
          <w:p>
            <w:r>
              <w:rPr>
                <w:b w:val="false"/>
                <w:bCs w:val="false"/>
                <w:color w:val="0B0B0B"/>
                <w:sz w:val="19"/>
                <w:szCs w:val="19"/>
              </w:rPr>
              <w:t xml:space="preserve">35.22%</w:t>
            </w:r>
          </w:p>
        </w:tc>
        <w:tc>
          <w:tcPr>
            <w:tcW w:type="dxa" w:w="2400"/>
            <w:tcMar>
              <w:top w:type="dxa" w:w="100"/>
              <w:left w:type="dxa" w:w="120"/>
              <w:bottom w:type="dxa" w:w="100"/>
              <w:right w:type="dxa" w:w="120"/>
            </w:tcMar>
          </w:tcPr>
          <w:p>
            <w:r>
              <w:rPr>
                <w:b w:val="false"/>
                <w:bCs w:val="false"/>
                <w:color w:val="0B0B0B"/>
                <w:sz w:val="19"/>
                <w:szCs w:val="19"/>
              </w:rPr>
              <w:t xml:space="preserve">—</w:t>
            </w:r>
          </w:p>
        </w:tc>
        <w:tc>
          <w:tcPr>
            <w:tcW w:type="dxa" w:w="2880"/>
            <w:tcMar>
              <w:top w:type="dxa" w:w="100"/>
              <w:left w:type="dxa" w:w="120"/>
              <w:bottom w:type="dxa" w:w="100"/>
              <w:right w:type="dxa" w:w="120"/>
            </w:tcMar>
          </w:tcPr>
          <w:p>
            <w:r>
              <w:rPr>
                <w:b w:val="false"/>
                <w:bCs w:val="false"/>
                <w:color w:val="0B0B0B"/>
                <w:sz w:val="19"/>
                <w:szCs w:val="19"/>
              </w:rPr>
              <w:t xml:space="preserve">—</w:t>
            </w:r>
          </w:p>
        </w:tc>
      </w:tr>
      <w:tr>
        <w:tc>
          <w:tcPr>
            <w:tcW w:type="dxa" w:w="2400"/>
            <w:tcMar>
              <w:top w:type="dxa" w:w="100"/>
              <w:left w:type="dxa" w:w="120"/>
              <w:bottom w:type="dxa" w:w="100"/>
              <w:right w:type="dxa" w:w="120"/>
            </w:tcMar>
          </w:tcPr>
          <w:p>
            <w:r>
              <w:rPr>
                <w:b w:val="false"/>
                <w:bCs w:val="false"/>
                <w:color w:val="0B0B0B"/>
                <w:sz w:val="19"/>
                <w:szCs w:val="19"/>
              </w:rPr>
              <w:t xml:space="preserve">25Q1</w:t>
            </w:r>
          </w:p>
        </w:tc>
        <w:tc>
          <w:tcPr>
            <w:tcW w:type="dxa" w:w="2400"/>
            <w:tcMar>
              <w:top w:type="dxa" w:w="100"/>
              <w:left w:type="dxa" w:w="120"/>
              <w:bottom w:type="dxa" w:w="100"/>
              <w:right w:type="dxa" w:w="120"/>
            </w:tcMar>
          </w:tcPr>
          <w:p>
            <w:r>
              <w:rPr>
                <w:b w:val="false"/>
                <w:bCs w:val="false"/>
                <w:color w:val="0B0B0B"/>
                <w:sz w:val="19"/>
                <w:szCs w:val="19"/>
              </w:rPr>
              <w:t xml:space="preserve">39.61%</w:t>
            </w:r>
          </w:p>
        </w:tc>
        <w:tc>
          <w:tcPr>
            <w:tcW w:type="dxa" w:w="2400"/>
            <w:tcMar>
              <w:top w:type="dxa" w:w="100"/>
              <w:left w:type="dxa" w:w="120"/>
              <w:bottom w:type="dxa" w:w="100"/>
              <w:right w:type="dxa" w:w="120"/>
            </w:tcMar>
          </w:tcPr>
          <w:p>
            <w:r>
              <w:rPr>
                <w:b w:val="false"/>
                <w:bCs w:val="false"/>
                <w:color w:val="0B0B0B"/>
                <w:sz w:val="19"/>
                <w:szCs w:val="19"/>
              </w:rPr>
              <w:t xml:space="preserve">20.54%</w:t>
            </w:r>
          </w:p>
        </w:tc>
        <w:tc>
          <w:tcPr>
            <w:tcW w:type="dxa" w:w="2880"/>
            <w:tcMar>
              <w:top w:type="dxa" w:w="100"/>
              <w:left w:type="dxa" w:w="120"/>
              <w:bottom w:type="dxa" w:w="100"/>
              <w:right w:type="dxa" w:w="120"/>
            </w:tcMar>
          </w:tcPr>
          <w:p>
            <w:r>
              <w:rPr>
                <w:b w:val="false"/>
                <w:bCs w:val="false"/>
                <w:color w:val="0B0B0B"/>
                <w:sz w:val="19"/>
                <w:szCs w:val="19"/>
              </w:rPr>
              <w:t xml:space="preserve">19.07pp</w:t>
            </w:r>
          </w:p>
        </w:tc>
      </w:tr>
      <w:tr>
        <w:tc>
          <w:tcPr>
            <w:tcW w:type="dxa" w:w="2400"/>
            <w:tcMar>
              <w:top w:type="dxa" w:w="100"/>
              <w:left w:type="dxa" w:w="120"/>
              <w:bottom w:type="dxa" w:w="100"/>
              <w:right w:type="dxa" w:w="120"/>
            </w:tcMar>
          </w:tcPr>
          <w:p>
            <w:r>
              <w:rPr>
                <w:b w:val="false"/>
                <w:bCs w:val="false"/>
                <w:color w:val="0B0B0B"/>
                <w:sz w:val="19"/>
                <w:szCs w:val="19"/>
              </w:rPr>
              <w:t xml:space="preserve">25Q2</w:t>
            </w:r>
          </w:p>
        </w:tc>
        <w:tc>
          <w:tcPr>
            <w:tcW w:type="dxa" w:w="2400"/>
            <w:tcMar>
              <w:top w:type="dxa" w:w="100"/>
              <w:left w:type="dxa" w:w="120"/>
              <w:bottom w:type="dxa" w:w="100"/>
              <w:right w:type="dxa" w:w="120"/>
            </w:tcMar>
          </w:tcPr>
          <w:p>
            <w:r>
              <w:rPr>
                <w:b w:val="false"/>
                <w:bCs w:val="false"/>
                <w:color w:val="0B0B0B"/>
                <w:sz w:val="19"/>
                <w:szCs w:val="19"/>
              </w:rPr>
              <w:t xml:space="preserve">37.92%</w:t>
            </w:r>
          </w:p>
        </w:tc>
        <w:tc>
          <w:tcPr>
            <w:tcW w:type="dxa" w:w="2400"/>
            <w:tcMar>
              <w:top w:type="dxa" w:w="100"/>
              <w:left w:type="dxa" w:w="120"/>
              <w:bottom w:type="dxa" w:w="100"/>
              <w:right w:type="dxa" w:w="120"/>
            </w:tcMar>
          </w:tcPr>
          <w:p>
            <w:r>
              <w:rPr>
                <w:b w:val="false"/>
                <w:bCs w:val="false"/>
                <w:color w:val="0B0B0B"/>
                <w:sz w:val="19"/>
                <w:szCs w:val="19"/>
              </w:rPr>
              <w:t xml:space="preserve">20.54%</w:t>
            </w:r>
          </w:p>
        </w:tc>
        <w:tc>
          <w:tcPr>
            <w:tcW w:type="dxa" w:w="2880"/>
            <w:tcMar>
              <w:top w:type="dxa" w:w="100"/>
              <w:left w:type="dxa" w:w="120"/>
              <w:bottom w:type="dxa" w:w="100"/>
              <w:right w:type="dxa" w:w="120"/>
            </w:tcMar>
          </w:tcPr>
          <w:p>
            <w:r>
              <w:rPr>
                <w:b w:val="false"/>
                <w:bCs w:val="false"/>
                <w:color w:val="0B0B0B"/>
                <w:sz w:val="19"/>
                <w:szCs w:val="19"/>
              </w:rPr>
              <w:t xml:space="preserve">17.38pp</w:t>
            </w:r>
          </w:p>
        </w:tc>
      </w:tr>
      <w:tr>
        <w:tc>
          <w:tcPr>
            <w:tcW w:type="dxa" w:w="2400"/>
            <w:tcMar>
              <w:top w:type="dxa" w:w="100"/>
              <w:left w:type="dxa" w:w="120"/>
              <w:bottom w:type="dxa" w:w="100"/>
              <w:right w:type="dxa" w:w="120"/>
            </w:tcMar>
          </w:tcPr>
          <w:p>
            <w:r>
              <w:rPr>
                <w:b w:val="false"/>
                <w:bCs w:val="false"/>
                <w:color w:val="0B0B0B"/>
                <w:sz w:val="19"/>
                <w:szCs w:val="19"/>
              </w:rPr>
              <w:t xml:space="preserve">25Q3</w:t>
            </w:r>
          </w:p>
        </w:tc>
        <w:tc>
          <w:tcPr>
            <w:tcW w:type="dxa" w:w="2400"/>
            <w:tcMar>
              <w:top w:type="dxa" w:w="100"/>
              <w:left w:type="dxa" w:w="120"/>
              <w:bottom w:type="dxa" w:w="100"/>
              <w:right w:type="dxa" w:w="120"/>
            </w:tcMar>
          </w:tcPr>
          <w:p>
            <w:r>
              <w:rPr>
                <w:b w:val="false"/>
                <w:bCs w:val="false"/>
                <w:color w:val="0B0B0B"/>
                <w:sz w:val="19"/>
                <w:szCs w:val="19"/>
              </w:rPr>
              <w:t xml:space="preserve">33.27%</w:t>
            </w:r>
          </w:p>
        </w:tc>
        <w:tc>
          <w:tcPr>
            <w:tcW w:type="dxa" w:w="2400"/>
            <w:tcMar>
              <w:top w:type="dxa" w:w="100"/>
              <w:left w:type="dxa" w:w="120"/>
              <w:bottom w:type="dxa" w:w="100"/>
              <w:right w:type="dxa" w:w="120"/>
            </w:tcMar>
          </w:tcPr>
          <w:p>
            <w:r>
              <w:rPr>
                <w:b w:val="false"/>
                <w:bCs w:val="false"/>
                <w:color w:val="0B0B0B"/>
                <w:sz w:val="19"/>
                <w:szCs w:val="19"/>
              </w:rPr>
              <w:t xml:space="preserve">20.54%</w:t>
            </w:r>
          </w:p>
        </w:tc>
        <w:tc>
          <w:tcPr>
            <w:tcW w:type="dxa" w:w="2880"/>
            <w:tcMar>
              <w:top w:type="dxa" w:w="100"/>
              <w:left w:type="dxa" w:w="120"/>
              <w:bottom w:type="dxa" w:w="100"/>
              <w:right w:type="dxa" w:w="120"/>
            </w:tcMar>
          </w:tcPr>
          <w:p>
            <w:r>
              <w:rPr>
                <w:b w:val="false"/>
                <w:bCs w:val="false"/>
                <w:color w:val="0B0B0B"/>
                <w:sz w:val="19"/>
                <w:szCs w:val="19"/>
              </w:rPr>
              <w:t xml:space="preserve">12.73pp</w:t>
            </w:r>
          </w:p>
        </w:tc>
      </w:tr>
      <w:tr>
        <w:tc>
          <w:tcPr>
            <w:tcW w:type="dxa" w:w="2400"/>
            <w:tcMar>
              <w:top w:type="dxa" w:w="100"/>
              <w:left w:type="dxa" w:w="120"/>
              <w:bottom w:type="dxa" w:w="100"/>
              <w:right w:type="dxa" w:w="120"/>
            </w:tcMar>
          </w:tcPr>
          <w:p>
            <w:r>
              <w:rPr>
                <w:b w:val="false"/>
                <w:bCs w:val="false"/>
                <w:color w:val="0B0B0B"/>
                <w:sz w:val="19"/>
                <w:szCs w:val="19"/>
              </w:rPr>
              <w:t xml:space="preserve">25Q4</w:t>
            </w:r>
          </w:p>
        </w:tc>
        <w:tc>
          <w:tcPr>
            <w:tcW w:type="dxa" w:w="2400"/>
            <w:tcMar>
              <w:top w:type="dxa" w:w="100"/>
              <w:left w:type="dxa" w:w="120"/>
              <w:bottom w:type="dxa" w:w="100"/>
              <w:right w:type="dxa" w:w="120"/>
            </w:tcMar>
          </w:tcPr>
          <w:p>
            <w:r>
              <w:rPr>
                <w:b w:val="false"/>
                <w:bCs w:val="false"/>
                <w:color w:val="0B0B0B"/>
                <w:sz w:val="19"/>
                <w:szCs w:val="19"/>
              </w:rPr>
              <w:t xml:space="preserve">34.90%</w:t>
            </w:r>
          </w:p>
        </w:tc>
        <w:tc>
          <w:tcPr>
            <w:tcW w:type="dxa" w:w="2400"/>
            <w:tcMar>
              <w:top w:type="dxa" w:w="100"/>
              <w:left w:type="dxa" w:w="120"/>
              <w:bottom w:type="dxa" w:w="100"/>
              <w:right w:type="dxa" w:w="120"/>
            </w:tcMar>
          </w:tcPr>
          <w:p>
            <w:r>
              <w:rPr>
                <w:b w:val="false"/>
                <w:bCs w:val="false"/>
                <w:color w:val="0B0B0B"/>
                <w:sz w:val="19"/>
                <w:szCs w:val="19"/>
              </w:rPr>
              <w:t xml:space="preserve">20.54%</w:t>
            </w:r>
          </w:p>
        </w:tc>
        <w:tc>
          <w:tcPr>
            <w:tcW w:type="dxa" w:w="2880"/>
            <w:tcMar>
              <w:top w:type="dxa" w:w="100"/>
              <w:left w:type="dxa" w:w="120"/>
              <w:bottom w:type="dxa" w:w="100"/>
              <w:right w:type="dxa" w:w="120"/>
            </w:tcMar>
          </w:tcPr>
          <w:p>
            <w:r>
              <w:rPr>
                <w:b w:val="false"/>
                <w:bCs w:val="false"/>
                <w:color w:val="0B0B0B"/>
                <w:sz w:val="19"/>
                <w:szCs w:val="19"/>
              </w:rPr>
              <w:t xml:space="preserve">14.36pp</w:t>
            </w:r>
          </w:p>
        </w:tc>
      </w:tr>
      <w:tr>
        <w:tc>
          <w:tcPr>
            <w:tcW w:type="dxa" w:w="2400"/>
            <w:tcMar>
              <w:top w:type="dxa" w:w="100"/>
              <w:left w:type="dxa" w:w="120"/>
              <w:bottom w:type="dxa" w:w="100"/>
              <w:right w:type="dxa" w:w="120"/>
            </w:tcMar>
          </w:tcPr>
          <w:p>
            <w:r>
              <w:rPr>
                <w:b w:val="false"/>
                <w:bCs w:val="false"/>
                <w:color w:val="0B0B0B"/>
                <w:sz w:val="19"/>
                <w:szCs w:val="19"/>
              </w:rPr>
              <w:t xml:space="preserve">26Q1</w:t>
            </w:r>
          </w:p>
        </w:tc>
        <w:tc>
          <w:tcPr>
            <w:tcW w:type="dxa" w:w="2400"/>
            <w:tcMar>
              <w:top w:type="dxa" w:w="100"/>
              <w:left w:type="dxa" w:w="120"/>
              <w:bottom w:type="dxa" w:w="100"/>
              <w:right w:type="dxa" w:w="120"/>
            </w:tcMar>
          </w:tcPr>
          <w:p>
            <w:r>
              <w:rPr>
                <w:b w:val="false"/>
                <w:bCs w:val="false"/>
                <w:color w:val="0B0B0B"/>
                <w:sz w:val="19"/>
                <w:szCs w:val="19"/>
              </w:rPr>
              <w:t xml:space="preserve">37.44%</w:t>
            </w:r>
          </w:p>
        </w:tc>
        <w:tc>
          <w:tcPr>
            <w:tcW w:type="dxa" w:w="2400"/>
            <w:tcMar>
              <w:top w:type="dxa" w:w="100"/>
              <w:left w:type="dxa" w:w="120"/>
              <w:bottom w:type="dxa" w:w="100"/>
              <w:right w:type="dxa" w:w="120"/>
            </w:tcMar>
          </w:tcPr>
          <w:p>
            <w:r>
              <w:rPr>
                <w:b w:val="false"/>
                <w:bCs w:val="false"/>
                <w:color w:val="0B0B0B"/>
                <w:sz w:val="19"/>
                <w:szCs w:val="19"/>
              </w:rPr>
              <w:t xml:space="preserve">16.92%</w:t>
            </w:r>
          </w:p>
        </w:tc>
        <w:tc>
          <w:tcPr>
            <w:tcW w:type="dxa" w:w="2880"/>
            <w:tcMar>
              <w:top w:type="dxa" w:w="100"/>
              <w:left w:type="dxa" w:w="120"/>
              <w:bottom w:type="dxa" w:w="100"/>
              <w:right w:type="dxa" w:w="120"/>
            </w:tcMar>
          </w:tcPr>
          <w:p>
            <w:r>
              <w:rPr>
                <w:b w:val="false"/>
                <w:bCs w:val="false"/>
                <w:color w:val="0B0B0B"/>
                <w:sz w:val="19"/>
                <w:szCs w:val="19"/>
              </w:rPr>
              <w:t xml:space="preserve">20.52pp</w:t>
            </w:r>
          </w:p>
        </w:tc>
      </w:tr>
    </w:tbl>
    <w:p>
      <w:pPr>
        <w:spacing w:after="260"/>
      </w:pPr>
      <w:r>
        <w:rPr>
          <w:sz w:val="22"/>
          <w:szCs w:val="22"/>
        </w:rPr>
        <w:t xml:space="preserve"/>
      </w:r>
    </w:p>
    <w:p>
      <w:pPr>
        <w:pStyle w:val="Heading1"/>
        <w:spacing w:after="160" w:before="420"/>
      </w:pPr>
      <w:r>
        <w:rPr>
          <w:b/>
          <w:bCs/>
          <w:color w:val="0D2438"/>
          <w:sz w:val="27"/>
          <w:szCs w:val="27"/>
        </w:rPr>
        <w:t xml:space="preserve">A Collection Problem, Not Just a Technical One</w:t>
      </w:r>
    </w:p>
    <w:p>
      <w:pPr>
        <w:spacing w:after="160"/>
      </w:pPr>
      <w:r>
        <w:rPr>
          <w:sz w:val="22"/>
          <w:szCs w:val="22"/>
        </w:rPr>
        <w:t xml:space="preserve">ATC&amp;C loss is a compound figure: 1 − (Billing Efficiency × Collection Efficiency). Billing efficiency asks whether DisCos are correctly metering and invoicing the energy they receive; collection efficiency asks whether they can actually get paid for what they invoice. Splitting the last four quarters apart shows where the erosion is really coming from.</w:t>
      </w:r>
    </w:p>
    <w:p>
      <w:pPr>
        <w:spacing w:after="160"/>
      </w:pPr>
      <w:r>
        <w:rPr>
          <w:sz w:val="22"/>
          <w:szCs w:val="22"/>
        </w:rPr>
        <w:t xml:space="preserve">Neither line moves in a straight direction, and that is itself the signal. Collection efficiency climbed from 76.07% in Q2 2025 to a 2025 high of 80.70% in Q3, then slipped back for two straight quarters to 78.95% in Q1 2026 — net up 2.9 points over the year, but giving back more than half its gain in the final six months. Billing efficiency moved the other way: it peaked at 82.69% in Q3 2025 and has fallen in every quarter since, down to 79.24% by Q1 2026, a net decline of 2.4 points. Neither metric has found a stable footing — billing efficiency is currently the faster-eroding of the two, which points to metering and invoicing accuracy, not just payment collection, as the more urgent near-term fix.</w:t>
      </w:r>
    </w:p>
    <w:p>
      <w:pPr>
        <w:spacing w:after="160"/>
      </w:pPr>
      <w:r>
        <w:rPr>
          <w:b/>
          <w:bCs/>
          <w:sz w:val="22"/>
          <w:szCs w:val="22"/>
        </w:rPr>
        <w:t xml:space="preserve">Why this matters for tariffs: </w:t>
      </w:r>
      <w:r>
        <w:rPr>
          <w:sz w:val="22"/>
          <w:szCs w:val="22"/>
        </w:rPr>
        <w:t xml:space="preserve">Every point of ATC&amp;C loss recovered increases usable revenue by roughly 1.6% at current sector retention (62.6 kobo recovered per naira of energy delivered) — recovering 10 points of loss is worth roughly 16% more usable revenue without a single tariff increase. Tariff design corrects for the price DisCos charge; it does nothing for energy they never bill or never collect on in the first place.</w:t>
      </w:r>
    </w:p>
    <w:p>
      <w:pPr>
        <w:pStyle w:val="Heading1"/>
        <w:spacing w:after="160" w:before="420"/>
      </w:pPr>
      <w:r>
        <w:rPr>
          <w:b/>
          <w:bCs/>
          <w:color w:val="0D2438"/>
          <w:sz w:val="27"/>
          <w:szCs w:val="27"/>
        </w:rPr>
        <w:t xml:space="preserve">What It Costs, In Naira</w:t>
      </w:r>
    </w:p>
    <w:p>
      <w:pPr>
        <w:spacing w:after="160"/>
      </w:pPr>
      <w:r>
        <w:rPr>
          <w:sz w:val="22"/>
          <w:szCs w:val="22"/>
        </w:rPr>
        <w:t xml:space="preserve">NERC's reports have, since late 2024, begun stating the naira gap explicitly: target revenue at approved tariffs, versus what DisCos actually billed and collected. In 2026 Q1, that gap was ₦357.63 billion against a target revenue base of ₦955.19 billion — effectively the same 37.4% shortfall the ATC&amp;C percentage implies, confirmed independently in Naira terms. The quarter before, Q4 2025, the shortfall was ₦338.26 billion against ₦969.19 billion targeted. Across all four quarters of 2025 that NERC has reported a Naira loss figure for, the cumulative shortfall against target revenue comes to roughly ₦606.5 billion — money the sector's own tariff order says should exist, and doesn't.</w:t>
      </w:r>
    </w:p>
    <w:p>
      <w:pPr>
        <w:spacing w:after="160"/>
      </w:pPr>
      <w:r>
        <w:rPr>
          <w:sz w:val="22"/>
          <w:szCs w:val="22"/>
        </w:rPr>
        <w:t xml:space="preserve">This is the number that should anchor the "next tariff review" debate, because it reframes the question. A tariff increase raises the price charged for energy that is billed and collected. It does nothing about ₦357.6 billion a quarter that was never billed, never metered correctly, or billed and never collected. Under the FGN subsidy arrangement that has held retail tariffs frozen since July 2024, the fiscal cost of that shortfall does not disappear — it shifts, either to the federal subsidy line or to DisCo balance sheets already under remittance pressure from NBET and the Market Operator.</w:t>
      </w:r>
    </w:p>
    <w:p>
      <w:pPr>
        <w:pStyle w:val="Heading1"/>
        <w:spacing w:after="160" w:before="420"/>
      </w:pPr>
      <w:r>
        <w:rPr>
          <w:b/>
          <w:bCs/>
          <w:color w:val="0D2438"/>
          <w:sz w:val="27"/>
          <w:szCs w:val="27"/>
        </w:rPr>
        <w:t xml:space="preserve">The National Average Hides an 11-DisCo Range From 20% to 70%</w:t>
      </w:r>
    </w:p>
    <w:p>
      <w:pPr>
        <w:spacing w:after="160"/>
      </w:pPr>
      <w:r>
        <w:rPr>
          <w:sz w:val="22"/>
          <w:szCs w:val="22"/>
        </w:rPr>
        <w:t xml:space="preserve">Averaging across eleven DisCos flattens a genuinely bimodal sector. Eko (20.2%) and Ikeja (24.6%) already run inside striking distance of MYTO-grade performance. Kaduna (69.7%), Yola (56.4%) and Jos (58.0%) are losing more than half of everything they receive. Six of eleven DisCos — Enugu, Ibadan, Jos, Kaduna, Kano, and Yola — are currently posting ATC&amp;C loss above 40%, more than double their MYTO targets.</w:t>
      </w:r>
    </w:p>
    <w:p>
      <w:pPr>
        <w:spacing w:after="120" w:before="200"/>
      </w:pPr>
      <w:r>
        <w:rPr>
          <w:b/>
          <w:bCs/>
          <w:color w:val="898781"/>
          <w:sz w:val="19"/>
          <w:szCs w:val="19"/>
        </w:rPr>
        <w:t xml:space="preserve">Table 3 · DisCo-Level ATC&amp;C Loss vs. Metering Rate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800"/>
        <w:gridCol w:w="1800"/>
        <w:gridCol w:w="1800"/>
        <w:gridCol w:w="1800"/>
        <w:gridCol w:w="2880"/>
      </w:tblGrid>
      <w:tr>
        <w:tc>
          <w:tcPr>
            <w:tcW w:type="dxa" w:w="1800"/>
            <w:shd w:fill="0D2438" w:val="clear"/>
            <w:tcMar>
              <w:top w:type="dxa" w:w="100"/>
              <w:left w:type="dxa" w:w="120"/>
              <w:bottom w:type="dxa" w:w="100"/>
              <w:right w:type="dxa" w:w="120"/>
            </w:tcMar>
          </w:tcPr>
          <w:p>
            <w:r>
              <w:rPr>
                <w:b/>
                <w:bCs/>
                <w:color w:val="FFFFFF"/>
                <w:sz w:val="18"/>
                <w:szCs w:val="18"/>
              </w:rPr>
              <w:t xml:space="preserve">DisCo</w:t>
            </w:r>
          </w:p>
        </w:tc>
        <w:tc>
          <w:tcPr>
            <w:tcW w:type="dxa" w:w="1800"/>
            <w:shd w:fill="0D2438" w:val="clear"/>
            <w:tcMar>
              <w:top w:type="dxa" w:w="100"/>
              <w:left w:type="dxa" w:w="120"/>
              <w:bottom w:type="dxa" w:w="100"/>
              <w:right w:type="dxa" w:w="120"/>
            </w:tcMar>
          </w:tcPr>
          <w:p>
            <w:r>
              <w:rPr>
                <w:b/>
                <w:bCs/>
                <w:color w:val="FFFFFF"/>
                <w:sz w:val="18"/>
                <w:szCs w:val="18"/>
              </w:rPr>
              <w:t xml:space="preserve">Metering rate</w:t>
            </w:r>
          </w:p>
        </w:tc>
        <w:tc>
          <w:tcPr>
            <w:tcW w:type="dxa" w:w="1800"/>
            <w:shd w:fill="0D2438" w:val="clear"/>
            <w:tcMar>
              <w:top w:type="dxa" w:w="100"/>
              <w:left w:type="dxa" w:w="120"/>
              <w:bottom w:type="dxa" w:w="100"/>
              <w:right w:type="dxa" w:w="120"/>
            </w:tcMar>
          </w:tcPr>
          <w:p>
            <w:r>
              <w:rPr>
                <w:b/>
                <w:bCs/>
                <w:color w:val="FFFFFF"/>
                <w:sz w:val="18"/>
                <w:szCs w:val="18"/>
              </w:rPr>
              <w:t xml:space="preserve">ATC&amp;C loss</w:t>
            </w:r>
          </w:p>
        </w:tc>
        <w:tc>
          <w:tcPr>
            <w:tcW w:type="dxa" w:w="1800"/>
            <w:shd w:fill="0D2438" w:val="clear"/>
            <w:tcMar>
              <w:top w:type="dxa" w:w="100"/>
              <w:left w:type="dxa" w:w="120"/>
              <w:bottom w:type="dxa" w:w="100"/>
              <w:right w:type="dxa" w:w="120"/>
            </w:tcMar>
          </w:tcPr>
          <w:p>
            <w:r>
              <w:rPr>
                <w:b/>
                <w:bCs/>
                <w:color w:val="FFFFFF"/>
                <w:sz w:val="18"/>
                <w:szCs w:val="18"/>
              </w:rPr>
              <w:t xml:space="preserve">MYTO target</w:t>
            </w:r>
          </w:p>
        </w:tc>
        <w:tc>
          <w:tcPr>
            <w:tcW w:type="dxa" w:w="2880"/>
            <w:shd w:fill="0D2438" w:val="clear"/>
            <w:tcMar>
              <w:top w:type="dxa" w:w="100"/>
              <w:left w:type="dxa" w:w="120"/>
              <w:bottom w:type="dxa" w:w="100"/>
              <w:right w:type="dxa" w:w="120"/>
            </w:tcMar>
          </w:tcPr>
          <w:p>
            <w:r>
              <w:rPr>
                <w:b/>
                <w:bCs/>
                <w:color w:val="FFFFFF"/>
                <w:sz w:val="18"/>
                <w:szCs w:val="18"/>
              </w:rPr>
              <w:t xml:space="preserve">Status</w:t>
            </w:r>
          </w:p>
        </w:tc>
      </w:tr>
      <w:tr>
        <w:tc>
          <w:tcPr>
            <w:tcW w:type="dxa" w:w="1800"/>
            <w:tcMar>
              <w:top w:type="dxa" w:w="100"/>
              <w:left w:type="dxa" w:w="120"/>
              <w:bottom w:type="dxa" w:w="100"/>
              <w:right w:type="dxa" w:w="120"/>
            </w:tcMar>
          </w:tcPr>
          <w:p>
            <w:r>
              <w:rPr>
                <w:b w:val="false"/>
                <w:bCs w:val="false"/>
                <w:color w:val="0B0B0B"/>
                <w:sz w:val="19"/>
                <w:szCs w:val="19"/>
              </w:rPr>
              <w:t xml:space="preserve">Eko</w:t>
            </w:r>
          </w:p>
        </w:tc>
        <w:tc>
          <w:tcPr>
            <w:tcW w:type="dxa" w:w="1800"/>
            <w:tcMar>
              <w:top w:type="dxa" w:w="100"/>
              <w:left w:type="dxa" w:w="120"/>
              <w:bottom w:type="dxa" w:w="100"/>
              <w:right w:type="dxa" w:w="120"/>
            </w:tcMar>
          </w:tcPr>
          <w:p>
            <w:r>
              <w:rPr>
                <w:b w:val="false"/>
                <w:bCs w:val="false"/>
                <w:color w:val="0B0B0B"/>
                <w:sz w:val="19"/>
                <w:szCs w:val="19"/>
              </w:rPr>
              <w:t xml:space="preserve">88.5%</w:t>
            </w:r>
          </w:p>
        </w:tc>
        <w:tc>
          <w:tcPr>
            <w:tcW w:type="dxa" w:w="1800"/>
            <w:tcMar>
              <w:top w:type="dxa" w:w="100"/>
              <w:left w:type="dxa" w:w="120"/>
              <w:bottom w:type="dxa" w:w="100"/>
              <w:right w:type="dxa" w:w="120"/>
            </w:tcMar>
          </w:tcPr>
          <w:p>
            <w:r>
              <w:rPr>
                <w:b w:val="false"/>
                <w:bCs w:val="false"/>
                <w:color w:val="0B0B0B"/>
                <w:sz w:val="19"/>
                <w:szCs w:val="19"/>
              </w:rPr>
              <w:t xml:space="preserve">20.2%</w:t>
            </w:r>
          </w:p>
        </w:tc>
        <w:tc>
          <w:tcPr>
            <w:tcW w:type="dxa" w:w="1800"/>
            <w:tcMar>
              <w:top w:type="dxa" w:w="100"/>
              <w:left w:type="dxa" w:w="120"/>
              <w:bottom w:type="dxa" w:w="100"/>
              <w:right w:type="dxa" w:w="120"/>
            </w:tcMar>
          </w:tcPr>
          <w:p>
            <w:r>
              <w:rPr>
                <w:b w:val="false"/>
                <w:bCs w:val="false"/>
                <w:color w:val="0B0B0B"/>
                <w:sz w:val="19"/>
                <w:szCs w:val="19"/>
              </w:rPr>
              <w:t xml:space="preserve">14.2%</w:t>
            </w:r>
          </w:p>
        </w:tc>
        <w:tc>
          <w:tcPr>
            <w:tcW w:type="dxa" w:w="2880"/>
            <w:tcMar>
              <w:top w:type="dxa" w:w="100"/>
              <w:left w:type="dxa" w:w="120"/>
              <w:bottom w:type="dxa" w:w="100"/>
              <w:right w:type="dxa" w:w="120"/>
            </w:tcMar>
          </w:tcPr>
          <w:p>
            <w:r>
              <w:rPr>
                <w:b w:val="false"/>
                <w:bCs w:val="false"/>
                <w:color w:val="0B0B0B"/>
                <w:sz w:val="19"/>
                <w:szCs w:val="19"/>
              </w:rPr>
              <w:t xml:space="preserve">Near target</w:t>
            </w:r>
          </w:p>
        </w:tc>
      </w:tr>
      <w:tr>
        <w:tc>
          <w:tcPr>
            <w:tcW w:type="dxa" w:w="1800"/>
            <w:tcMar>
              <w:top w:type="dxa" w:w="100"/>
              <w:left w:type="dxa" w:w="120"/>
              <w:bottom w:type="dxa" w:w="100"/>
              <w:right w:type="dxa" w:w="120"/>
            </w:tcMar>
          </w:tcPr>
          <w:p>
            <w:r>
              <w:rPr>
                <w:b w:val="false"/>
                <w:bCs w:val="false"/>
                <w:color w:val="0B0B0B"/>
                <w:sz w:val="19"/>
                <w:szCs w:val="19"/>
              </w:rPr>
              <w:t xml:space="preserve">Ikeja</w:t>
            </w:r>
          </w:p>
        </w:tc>
        <w:tc>
          <w:tcPr>
            <w:tcW w:type="dxa" w:w="1800"/>
            <w:tcMar>
              <w:top w:type="dxa" w:w="100"/>
              <w:left w:type="dxa" w:w="120"/>
              <w:bottom w:type="dxa" w:w="100"/>
              <w:right w:type="dxa" w:w="120"/>
            </w:tcMar>
          </w:tcPr>
          <w:p>
            <w:r>
              <w:rPr>
                <w:b w:val="false"/>
                <w:bCs w:val="false"/>
                <w:color w:val="0B0B0B"/>
                <w:sz w:val="19"/>
                <w:szCs w:val="19"/>
              </w:rPr>
              <w:t xml:space="preserve">88.0%</w:t>
            </w:r>
          </w:p>
        </w:tc>
        <w:tc>
          <w:tcPr>
            <w:tcW w:type="dxa" w:w="1800"/>
            <w:tcMar>
              <w:top w:type="dxa" w:w="100"/>
              <w:left w:type="dxa" w:w="120"/>
              <w:bottom w:type="dxa" w:w="100"/>
              <w:right w:type="dxa" w:w="120"/>
            </w:tcMar>
          </w:tcPr>
          <w:p>
            <w:r>
              <w:rPr>
                <w:b w:val="false"/>
                <w:bCs w:val="false"/>
                <w:color w:val="0B0B0B"/>
                <w:sz w:val="19"/>
                <w:szCs w:val="19"/>
              </w:rPr>
              <w:t xml:space="preserve">24.6%</w:t>
            </w:r>
          </w:p>
        </w:tc>
        <w:tc>
          <w:tcPr>
            <w:tcW w:type="dxa" w:w="1800"/>
            <w:tcMar>
              <w:top w:type="dxa" w:w="100"/>
              <w:left w:type="dxa" w:w="120"/>
              <w:bottom w:type="dxa" w:w="100"/>
              <w:right w:type="dxa" w:w="120"/>
            </w:tcMar>
          </w:tcPr>
          <w:p>
            <w:r>
              <w:rPr>
                <w:b w:val="false"/>
                <w:bCs w:val="false"/>
                <w:color w:val="0B0B0B"/>
                <w:sz w:val="19"/>
                <w:szCs w:val="19"/>
              </w:rPr>
              <w:t xml:space="preserve">13.5%</w:t>
            </w:r>
          </w:p>
        </w:tc>
        <w:tc>
          <w:tcPr>
            <w:tcW w:type="dxa" w:w="2880"/>
            <w:tcMar>
              <w:top w:type="dxa" w:w="100"/>
              <w:left w:type="dxa" w:w="120"/>
              <w:bottom w:type="dxa" w:w="100"/>
              <w:right w:type="dxa" w:w="120"/>
            </w:tcMar>
          </w:tcPr>
          <w:p>
            <w:r>
              <w:rPr>
                <w:b w:val="false"/>
                <w:bCs w:val="false"/>
                <w:color w:val="0B0B0B"/>
                <w:sz w:val="19"/>
                <w:szCs w:val="19"/>
              </w:rPr>
              <w:t xml:space="preserve">Near target</w:t>
            </w:r>
          </w:p>
        </w:tc>
      </w:tr>
      <w:tr>
        <w:tc>
          <w:tcPr>
            <w:tcW w:type="dxa" w:w="1800"/>
            <w:tcMar>
              <w:top w:type="dxa" w:w="100"/>
              <w:left w:type="dxa" w:w="120"/>
              <w:bottom w:type="dxa" w:w="100"/>
              <w:right w:type="dxa" w:w="120"/>
            </w:tcMar>
          </w:tcPr>
          <w:p>
            <w:r>
              <w:rPr>
                <w:b w:val="false"/>
                <w:bCs w:val="false"/>
                <w:color w:val="0B0B0B"/>
                <w:sz w:val="19"/>
                <w:szCs w:val="19"/>
              </w:rPr>
              <w:t xml:space="preserve">Abuja</w:t>
            </w:r>
          </w:p>
        </w:tc>
        <w:tc>
          <w:tcPr>
            <w:tcW w:type="dxa" w:w="1800"/>
            <w:tcMar>
              <w:top w:type="dxa" w:w="100"/>
              <w:left w:type="dxa" w:w="120"/>
              <w:bottom w:type="dxa" w:w="100"/>
              <w:right w:type="dxa" w:w="120"/>
            </w:tcMar>
          </w:tcPr>
          <w:p>
            <w:r>
              <w:rPr>
                <w:b w:val="false"/>
                <w:bCs w:val="false"/>
                <w:color w:val="0B0B0B"/>
                <w:sz w:val="19"/>
                <w:szCs w:val="19"/>
              </w:rPr>
              <w:t xml:space="preserve">79.8%</w:t>
            </w:r>
          </w:p>
        </w:tc>
        <w:tc>
          <w:tcPr>
            <w:tcW w:type="dxa" w:w="1800"/>
            <w:tcMar>
              <w:top w:type="dxa" w:w="100"/>
              <w:left w:type="dxa" w:w="120"/>
              <w:bottom w:type="dxa" w:w="100"/>
              <w:right w:type="dxa" w:w="120"/>
            </w:tcMar>
          </w:tcPr>
          <w:p>
            <w:r>
              <w:rPr>
                <w:b w:val="false"/>
                <w:bCs w:val="false"/>
                <w:color w:val="0B0B0B"/>
                <w:sz w:val="19"/>
                <w:szCs w:val="19"/>
              </w:rPr>
              <w:t xml:space="preserve">31.9%</w:t>
            </w:r>
          </w:p>
        </w:tc>
        <w:tc>
          <w:tcPr>
            <w:tcW w:type="dxa" w:w="1800"/>
            <w:tcMar>
              <w:top w:type="dxa" w:w="100"/>
              <w:left w:type="dxa" w:w="120"/>
              <w:bottom w:type="dxa" w:w="100"/>
              <w:right w:type="dxa" w:w="120"/>
            </w:tcMar>
          </w:tcPr>
          <w:p>
            <w:r>
              <w:rPr>
                <w:b w:val="false"/>
                <w:bCs w:val="false"/>
                <w:color w:val="0B0B0B"/>
                <w:sz w:val="19"/>
                <w:szCs w:val="19"/>
              </w:rPr>
              <w:t xml:space="preserve">17.0%</w:t>
            </w:r>
          </w:p>
        </w:tc>
        <w:tc>
          <w:tcPr>
            <w:tcW w:type="dxa" w:w="2880"/>
            <w:tcMar>
              <w:top w:type="dxa" w:w="100"/>
              <w:left w:type="dxa" w:w="120"/>
              <w:bottom w:type="dxa" w:w="100"/>
              <w:right w:type="dxa" w:w="120"/>
            </w:tcMar>
          </w:tcPr>
          <w:p>
            <w:r>
              <w:rPr>
                <w:b w:val="false"/>
                <w:bCs w:val="false"/>
                <w:color w:val="0B0B0B"/>
                <w:sz w:val="19"/>
                <w:szCs w:val="19"/>
              </w:rPr>
              <w:t xml:space="preserve">Elevated</w:t>
            </w:r>
          </w:p>
        </w:tc>
      </w:tr>
      <w:tr>
        <w:tc>
          <w:tcPr>
            <w:tcW w:type="dxa" w:w="1800"/>
            <w:tcMar>
              <w:top w:type="dxa" w:w="100"/>
              <w:left w:type="dxa" w:w="120"/>
              <w:bottom w:type="dxa" w:w="100"/>
              <w:right w:type="dxa" w:w="120"/>
            </w:tcMar>
          </w:tcPr>
          <w:p>
            <w:r>
              <w:rPr>
                <w:b w:val="false"/>
                <w:bCs w:val="false"/>
                <w:color w:val="0B0B0B"/>
                <w:sz w:val="19"/>
                <w:szCs w:val="19"/>
              </w:rPr>
              <w:t xml:space="preserve">PH</w:t>
            </w:r>
          </w:p>
        </w:tc>
        <w:tc>
          <w:tcPr>
            <w:tcW w:type="dxa" w:w="1800"/>
            <w:tcMar>
              <w:top w:type="dxa" w:w="100"/>
              <w:left w:type="dxa" w:w="120"/>
              <w:bottom w:type="dxa" w:w="100"/>
              <w:right w:type="dxa" w:w="120"/>
            </w:tcMar>
          </w:tcPr>
          <w:p>
            <w:r>
              <w:rPr>
                <w:b w:val="false"/>
                <w:bCs w:val="false"/>
                <w:color w:val="0B0B0B"/>
                <w:sz w:val="19"/>
                <w:szCs w:val="19"/>
              </w:rPr>
              <w:t xml:space="preserve">66.9%</w:t>
            </w:r>
          </w:p>
        </w:tc>
        <w:tc>
          <w:tcPr>
            <w:tcW w:type="dxa" w:w="1800"/>
            <w:tcMar>
              <w:top w:type="dxa" w:w="100"/>
              <w:left w:type="dxa" w:w="120"/>
              <w:bottom w:type="dxa" w:w="100"/>
              <w:right w:type="dxa" w:w="120"/>
            </w:tcMar>
          </w:tcPr>
          <w:p>
            <w:r>
              <w:rPr>
                <w:b w:val="false"/>
                <w:bCs w:val="false"/>
                <w:color w:val="0B0B0B"/>
                <w:sz w:val="19"/>
                <w:szCs w:val="19"/>
              </w:rPr>
              <w:t xml:space="preserve">36.0%</w:t>
            </w:r>
          </w:p>
        </w:tc>
        <w:tc>
          <w:tcPr>
            <w:tcW w:type="dxa" w:w="1800"/>
            <w:tcMar>
              <w:top w:type="dxa" w:w="100"/>
              <w:left w:type="dxa" w:w="120"/>
              <w:bottom w:type="dxa" w:w="100"/>
              <w:right w:type="dxa" w:w="120"/>
            </w:tcMar>
          </w:tcPr>
          <w:p>
            <w:r>
              <w:rPr>
                <w:b w:val="false"/>
                <w:bCs w:val="false"/>
                <w:color w:val="0B0B0B"/>
                <w:sz w:val="19"/>
                <w:szCs w:val="19"/>
              </w:rPr>
              <w:t xml:space="preserve">16.7%</w:t>
            </w:r>
          </w:p>
        </w:tc>
        <w:tc>
          <w:tcPr>
            <w:tcW w:type="dxa" w:w="2880"/>
            <w:tcMar>
              <w:top w:type="dxa" w:w="100"/>
              <w:left w:type="dxa" w:w="120"/>
              <w:bottom w:type="dxa" w:w="100"/>
              <w:right w:type="dxa" w:w="120"/>
            </w:tcMar>
          </w:tcPr>
          <w:p>
            <w:r>
              <w:rPr>
                <w:b w:val="false"/>
                <w:bCs w:val="false"/>
                <w:color w:val="0B0B0B"/>
                <w:sz w:val="19"/>
                <w:szCs w:val="19"/>
              </w:rPr>
              <w:t xml:space="preserve">Elevated</w:t>
            </w:r>
          </w:p>
        </w:tc>
      </w:tr>
      <w:tr>
        <w:tc>
          <w:tcPr>
            <w:tcW w:type="dxa" w:w="1800"/>
            <w:tcMar>
              <w:top w:type="dxa" w:w="100"/>
              <w:left w:type="dxa" w:w="120"/>
              <w:bottom w:type="dxa" w:w="100"/>
              <w:right w:type="dxa" w:w="120"/>
            </w:tcMar>
          </w:tcPr>
          <w:p>
            <w:r>
              <w:rPr>
                <w:b w:val="false"/>
                <w:bCs w:val="false"/>
                <w:color w:val="0B0B0B"/>
                <w:sz w:val="19"/>
                <w:szCs w:val="19"/>
              </w:rPr>
              <w:t xml:space="preserve">Benin</w:t>
            </w:r>
          </w:p>
        </w:tc>
        <w:tc>
          <w:tcPr>
            <w:tcW w:type="dxa" w:w="1800"/>
            <w:tcMar>
              <w:top w:type="dxa" w:w="100"/>
              <w:left w:type="dxa" w:w="120"/>
              <w:bottom w:type="dxa" w:w="100"/>
              <w:right w:type="dxa" w:w="120"/>
            </w:tcMar>
          </w:tcPr>
          <w:p>
            <w:r>
              <w:rPr>
                <w:b w:val="false"/>
                <w:bCs w:val="false"/>
                <w:color w:val="0B0B0B"/>
                <w:sz w:val="19"/>
                <w:szCs w:val="19"/>
              </w:rPr>
              <w:t xml:space="preserve">58.0%</w:t>
            </w:r>
          </w:p>
        </w:tc>
        <w:tc>
          <w:tcPr>
            <w:tcW w:type="dxa" w:w="1800"/>
            <w:tcMar>
              <w:top w:type="dxa" w:w="100"/>
              <w:left w:type="dxa" w:w="120"/>
              <w:bottom w:type="dxa" w:w="100"/>
              <w:right w:type="dxa" w:w="120"/>
            </w:tcMar>
          </w:tcPr>
          <w:p>
            <w:r>
              <w:rPr>
                <w:b w:val="false"/>
                <w:bCs w:val="false"/>
                <w:color w:val="0B0B0B"/>
                <w:sz w:val="19"/>
                <w:szCs w:val="19"/>
              </w:rPr>
              <w:t xml:space="preserve">39.7%</w:t>
            </w:r>
          </w:p>
        </w:tc>
        <w:tc>
          <w:tcPr>
            <w:tcW w:type="dxa" w:w="1800"/>
            <w:tcMar>
              <w:top w:type="dxa" w:w="100"/>
              <w:left w:type="dxa" w:w="120"/>
              <w:bottom w:type="dxa" w:w="100"/>
              <w:right w:type="dxa" w:w="120"/>
            </w:tcMar>
          </w:tcPr>
          <w:p>
            <w:r>
              <w:rPr>
                <w:b w:val="false"/>
                <w:bCs w:val="false"/>
                <w:color w:val="0B0B0B"/>
                <w:sz w:val="19"/>
                <w:szCs w:val="19"/>
              </w:rPr>
              <w:t xml:space="preserve">17.2%</w:t>
            </w:r>
          </w:p>
        </w:tc>
        <w:tc>
          <w:tcPr>
            <w:tcW w:type="dxa" w:w="2880"/>
            <w:tcMar>
              <w:top w:type="dxa" w:w="100"/>
              <w:left w:type="dxa" w:w="120"/>
              <w:bottom w:type="dxa" w:w="100"/>
              <w:right w:type="dxa" w:w="120"/>
            </w:tcMar>
          </w:tcPr>
          <w:p>
            <w:r>
              <w:rPr>
                <w:b w:val="false"/>
                <w:bCs w:val="false"/>
                <w:color w:val="0B0B0B"/>
                <w:sz w:val="19"/>
                <w:szCs w:val="19"/>
              </w:rPr>
              <w:t xml:space="preserve">Elevated</w:t>
            </w:r>
          </w:p>
        </w:tc>
      </w:tr>
      <w:tr>
        <w:tc>
          <w:tcPr>
            <w:tcW w:type="dxa" w:w="1800"/>
            <w:tcMar>
              <w:top w:type="dxa" w:w="100"/>
              <w:left w:type="dxa" w:w="120"/>
              <w:bottom w:type="dxa" w:w="100"/>
              <w:right w:type="dxa" w:w="120"/>
            </w:tcMar>
          </w:tcPr>
          <w:p>
            <w:r>
              <w:rPr>
                <w:b w:val="false"/>
                <w:bCs w:val="false"/>
                <w:color w:val="0B0B0B"/>
                <w:sz w:val="19"/>
                <w:szCs w:val="19"/>
              </w:rPr>
              <w:t xml:space="preserve">Enugu</w:t>
            </w:r>
          </w:p>
        </w:tc>
        <w:tc>
          <w:tcPr>
            <w:tcW w:type="dxa" w:w="1800"/>
            <w:tcMar>
              <w:top w:type="dxa" w:w="100"/>
              <w:left w:type="dxa" w:w="120"/>
              <w:bottom w:type="dxa" w:w="100"/>
              <w:right w:type="dxa" w:w="120"/>
            </w:tcMar>
          </w:tcPr>
          <w:p>
            <w:r>
              <w:rPr>
                <w:b w:val="false"/>
                <w:bCs w:val="false"/>
                <w:color w:val="0B0B0B"/>
                <w:sz w:val="19"/>
                <w:szCs w:val="19"/>
              </w:rPr>
              <w:t xml:space="preserve">51.6%</w:t>
            </w:r>
          </w:p>
        </w:tc>
        <w:tc>
          <w:tcPr>
            <w:tcW w:type="dxa" w:w="1800"/>
            <w:tcMar>
              <w:top w:type="dxa" w:w="100"/>
              <w:left w:type="dxa" w:w="120"/>
              <w:bottom w:type="dxa" w:w="100"/>
              <w:right w:type="dxa" w:w="120"/>
            </w:tcMar>
          </w:tcPr>
          <w:p>
            <w:r>
              <w:rPr>
                <w:b w:val="false"/>
                <w:bCs w:val="false"/>
                <w:color w:val="0B0B0B"/>
                <w:sz w:val="19"/>
                <w:szCs w:val="19"/>
              </w:rPr>
              <w:t xml:space="preserve">42.7%</w:t>
            </w:r>
          </w:p>
        </w:tc>
        <w:tc>
          <w:tcPr>
            <w:tcW w:type="dxa" w:w="1800"/>
            <w:tcMar>
              <w:top w:type="dxa" w:w="100"/>
              <w:left w:type="dxa" w:w="120"/>
              <w:bottom w:type="dxa" w:w="100"/>
              <w:right w:type="dxa" w:w="120"/>
            </w:tcMar>
          </w:tcPr>
          <w:p>
            <w:r>
              <w:rPr>
                <w:b w:val="false"/>
                <w:bCs w:val="false"/>
                <w:color w:val="0B0B0B"/>
                <w:sz w:val="19"/>
                <w:szCs w:val="19"/>
              </w:rPr>
              <w:t xml:space="preserve">18.1%</w:t>
            </w:r>
          </w:p>
        </w:tc>
        <w:tc>
          <w:tcPr>
            <w:tcW w:type="dxa" w:w="2880"/>
            <w:tcMar>
              <w:top w:type="dxa" w:w="100"/>
              <w:left w:type="dxa" w:w="120"/>
              <w:bottom w:type="dxa" w:w="100"/>
              <w:right w:type="dxa" w:w="120"/>
            </w:tcMar>
          </w:tcPr>
          <w:p>
            <w:r>
              <w:rPr>
                <w:b w:val="false"/>
                <w:bCs w:val="false"/>
                <w:color w:val="0B0B0B"/>
                <w:sz w:val="19"/>
                <w:szCs w:val="19"/>
              </w:rPr>
              <w:t xml:space="preserve">Elevated</w:t>
            </w:r>
          </w:p>
        </w:tc>
      </w:tr>
      <w:tr>
        <w:tc>
          <w:tcPr>
            <w:tcW w:type="dxa" w:w="1800"/>
            <w:tcMar>
              <w:top w:type="dxa" w:w="100"/>
              <w:left w:type="dxa" w:w="120"/>
              <w:bottom w:type="dxa" w:w="100"/>
              <w:right w:type="dxa" w:w="120"/>
            </w:tcMar>
          </w:tcPr>
          <w:p>
            <w:r>
              <w:rPr>
                <w:b w:val="false"/>
                <w:bCs w:val="false"/>
                <w:color w:val="0B0B0B"/>
                <w:sz w:val="19"/>
                <w:szCs w:val="19"/>
              </w:rPr>
              <w:t xml:space="preserve">Ibadan</w:t>
            </w:r>
          </w:p>
        </w:tc>
        <w:tc>
          <w:tcPr>
            <w:tcW w:type="dxa" w:w="1800"/>
            <w:tcMar>
              <w:top w:type="dxa" w:w="100"/>
              <w:left w:type="dxa" w:w="120"/>
              <w:bottom w:type="dxa" w:w="100"/>
              <w:right w:type="dxa" w:w="120"/>
            </w:tcMar>
          </w:tcPr>
          <w:p>
            <w:r>
              <w:rPr>
                <w:b w:val="false"/>
                <w:bCs w:val="false"/>
                <w:color w:val="0B0B0B"/>
                <w:sz w:val="19"/>
                <w:szCs w:val="19"/>
              </w:rPr>
              <w:t xml:space="preserve">52.6%</w:t>
            </w:r>
          </w:p>
        </w:tc>
        <w:tc>
          <w:tcPr>
            <w:tcW w:type="dxa" w:w="1800"/>
            <w:tcMar>
              <w:top w:type="dxa" w:w="100"/>
              <w:left w:type="dxa" w:w="120"/>
              <w:bottom w:type="dxa" w:w="100"/>
              <w:right w:type="dxa" w:w="120"/>
            </w:tcMar>
          </w:tcPr>
          <w:p>
            <w:r>
              <w:rPr>
                <w:b w:val="false"/>
                <w:bCs w:val="false"/>
                <w:color w:val="0B0B0B"/>
                <w:sz w:val="19"/>
                <w:szCs w:val="19"/>
              </w:rPr>
              <w:t xml:space="preserve">48.1%</w:t>
            </w:r>
          </w:p>
        </w:tc>
        <w:tc>
          <w:tcPr>
            <w:tcW w:type="dxa" w:w="1800"/>
            <w:tcMar>
              <w:top w:type="dxa" w:w="100"/>
              <w:left w:type="dxa" w:w="120"/>
              <w:bottom w:type="dxa" w:w="100"/>
              <w:right w:type="dxa" w:w="120"/>
            </w:tcMar>
          </w:tcPr>
          <w:p>
            <w:r>
              <w:rPr>
                <w:b w:val="false"/>
                <w:bCs w:val="false"/>
                <w:color w:val="0B0B0B"/>
                <w:sz w:val="19"/>
                <w:szCs w:val="19"/>
              </w:rPr>
              <w:t xml:space="preserve">17.5%</w:t>
            </w:r>
          </w:p>
        </w:tc>
        <w:tc>
          <w:tcPr>
            <w:tcW w:type="dxa" w:w="2880"/>
            <w:tcMar>
              <w:top w:type="dxa" w:w="100"/>
              <w:left w:type="dxa" w:w="120"/>
              <w:bottom w:type="dxa" w:w="100"/>
              <w:right w:type="dxa" w:w="120"/>
            </w:tcMar>
          </w:tcPr>
          <w:p>
            <w:r>
              <w:rPr>
                <w:b w:val="false"/>
                <w:bCs w:val="false"/>
                <w:color w:val="0B0B0B"/>
                <w:sz w:val="19"/>
                <w:szCs w:val="19"/>
              </w:rPr>
              <w:t xml:space="preserve">Critical</w:t>
            </w:r>
          </w:p>
        </w:tc>
      </w:tr>
      <w:tr>
        <w:tc>
          <w:tcPr>
            <w:tcW w:type="dxa" w:w="1800"/>
            <w:tcMar>
              <w:top w:type="dxa" w:w="100"/>
              <w:left w:type="dxa" w:w="120"/>
              <w:bottom w:type="dxa" w:w="100"/>
              <w:right w:type="dxa" w:w="120"/>
            </w:tcMar>
          </w:tcPr>
          <w:p>
            <w:r>
              <w:rPr>
                <w:b w:val="false"/>
                <w:bCs w:val="false"/>
                <w:color w:val="0B0B0B"/>
                <w:sz w:val="19"/>
                <w:szCs w:val="19"/>
              </w:rPr>
              <w:t xml:space="preserve">Kano</w:t>
            </w:r>
          </w:p>
        </w:tc>
        <w:tc>
          <w:tcPr>
            <w:tcW w:type="dxa" w:w="1800"/>
            <w:tcMar>
              <w:top w:type="dxa" w:w="100"/>
              <w:left w:type="dxa" w:w="120"/>
              <w:bottom w:type="dxa" w:w="100"/>
              <w:right w:type="dxa" w:w="120"/>
            </w:tcMar>
          </w:tcPr>
          <w:p>
            <w:r>
              <w:rPr>
                <w:b w:val="false"/>
                <w:bCs w:val="false"/>
                <w:color w:val="0B0B0B"/>
                <w:sz w:val="19"/>
                <w:szCs w:val="19"/>
              </w:rPr>
              <w:t xml:space="preserve">35.4%</w:t>
            </w:r>
          </w:p>
        </w:tc>
        <w:tc>
          <w:tcPr>
            <w:tcW w:type="dxa" w:w="1800"/>
            <w:tcMar>
              <w:top w:type="dxa" w:w="100"/>
              <w:left w:type="dxa" w:w="120"/>
              <w:bottom w:type="dxa" w:w="100"/>
              <w:right w:type="dxa" w:w="120"/>
            </w:tcMar>
          </w:tcPr>
          <w:p>
            <w:r>
              <w:rPr>
                <w:b w:val="false"/>
                <w:bCs w:val="false"/>
                <w:color w:val="0B0B0B"/>
                <w:sz w:val="19"/>
                <w:szCs w:val="19"/>
              </w:rPr>
              <w:t xml:space="preserve">45.1%</w:t>
            </w:r>
          </w:p>
        </w:tc>
        <w:tc>
          <w:tcPr>
            <w:tcW w:type="dxa" w:w="1800"/>
            <w:tcMar>
              <w:top w:type="dxa" w:w="100"/>
              <w:left w:type="dxa" w:w="120"/>
              <w:bottom w:type="dxa" w:w="100"/>
              <w:right w:type="dxa" w:w="120"/>
            </w:tcMar>
          </w:tcPr>
          <w:p>
            <w:r>
              <w:rPr>
                <w:b w:val="false"/>
                <w:bCs w:val="false"/>
                <w:color w:val="0B0B0B"/>
                <w:sz w:val="19"/>
                <w:szCs w:val="19"/>
              </w:rPr>
              <w:t xml:space="preserve">17.5%</w:t>
            </w:r>
          </w:p>
        </w:tc>
        <w:tc>
          <w:tcPr>
            <w:tcW w:type="dxa" w:w="2880"/>
            <w:tcMar>
              <w:top w:type="dxa" w:w="100"/>
              <w:left w:type="dxa" w:w="120"/>
              <w:bottom w:type="dxa" w:w="100"/>
              <w:right w:type="dxa" w:w="120"/>
            </w:tcMar>
          </w:tcPr>
          <w:p>
            <w:r>
              <w:rPr>
                <w:b w:val="false"/>
                <w:bCs w:val="false"/>
                <w:color w:val="0B0B0B"/>
                <w:sz w:val="19"/>
                <w:szCs w:val="19"/>
              </w:rPr>
              <w:t xml:space="preserve">Elevated</w:t>
            </w:r>
          </w:p>
        </w:tc>
      </w:tr>
      <w:tr>
        <w:tc>
          <w:tcPr>
            <w:tcW w:type="dxa" w:w="1800"/>
            <w:tcMar>
              <w:top w:type="dxa" w:w="100"/>
              <w:left w:type="dxa" w:w="120"/>
              <w:bottom w:type="dxa" w:w="100"/>
              <w:right w:type="dxa" w:w="120"/>
            </w:tcMar>
          </w:tcPr>
          <w:p>
            <w:r>
              <w:rPr>
                <w:b w:val="false"/>
                <w:bCs w:val="false"/>
                <w:color w:val="0B0B0B"/>
                <w:sz w:val="19"/>
                <w:szCs w:val="19"/>
              </w:rPr>
              <w:t xml:space="preserve">Jos</w:t>
            </w:r>
          </w:p>
        </w:tc>
        <w:tc>
          <w:tcPr>
            <w:tcW w:type="dxa" w:w="1800"/>
            <w:tcMar>
              <w:top w:type="dxa" w:w="100"/>
              <w:left w:type="dxa" w:w="120"/>
              <w:bottom w:type="dxa" w:w="100"/>
              <w:right w:type="dxa" w:w="120"/>
            </w:tcMar>
          </w:tcPr>
          <w:p>
            <w:r>
              <w:rPr>
                <w:b w:val="false"/>
                <w:bCs w:val="false"/>
                <w:color w:val="0B0B0B"/>
                <w:sz w:val="19"/>
                <w:szCs w:val="19"/>
              </w:rPr>
              <w:t xml:space="preserve">34.6%</w:t>
            </w:r>
          </w:p>
        </w:tc>
        <w:tc>
          <w:tcPr>
            <w:tcW w:type="dxa" w:w="1800"/>
            <w:tcMar>
              <w:top w:type="dxa" w:w="100"/>
              <w:left w:type="dxa" w:w="120"/>
              <w:bottom w:type="dxa" w:w="100"/>
              <w:right w:type="dxa" w:w="120"/>
            </w:tcMar>
          </w:tcPr>
          <w:p>
            <w:r>
              <w:rPr>
                <w:b w:val="false"/>
                <w:bCs w:val="false"/>
                <w:color w:val="0B0B0B"/>
                <w:sz w:val="19"/>
                <w:szCs w:val="19"/>
              </w:rPr>
              <w:t xml:space="preserve">58.0%</w:t>
            </w:r>
          </w:p>
        </w:tc>
        <w:tc>
          <w:tcPr>
            <w:tcW w:type="dxa" w:w="1800"/>
            <w:tcMar>
              <w:top w:type="dxa" w:w="100"/>
              <w:left w:type="dxa" w:w="120"/>
              <w:bottom w:type="dxa" w:w="100"/>
              <w:right w:type="dxa" w:w="120"/>
            </w:tcMar>
          </w:tcPr>
          <w:p>
            <w:r>
              <w:rPr>
                <w:b w:val="false"/>
                <w:bCs w:val="false"/>
                <w:color w:val="0B0B0B"/>
                <w:sz w:val="19"/>
                <w:szCs w:val="19"/>
              </w:rPr>
              <w:t xml:space="preserve">20.8%</w:t>
            </w:r>
          </w:p>
        </w:tc>
        <w:tc>
          <w:tcPr>
            <w:tcW w:type="dxa" w:w="2880"/>
            <w:tcMar>
              <w:top w:type="dxa" w:w="100"/>
              <w:left w:type="dxa" w:w="120"/>
              <w:bottom w:type="dxa" w:w="100"/>
              <w:right w:type="dxa" w:w="120"/>
            </w:tcMar>
          </w:tcPr>
          <w:p>
            <w:r>
              <w:rPr>
                <w:b w:val="false"/>
                <w:bCs w:val="false"/>
                <w:color w:val="0B0B0B"/>
                <w:sz w:val="19"/>
                <w:szCs w:val="19"/>
              </w:rPr>
              <w:t xml:space="preserve">Critical</w:t>
            </w:r>
          </w:p>
        </w:tc>
      </w:tr>
      <w:tr>
        <w:tc>
          <w:tcPr>
            <w:tcW w:type="dxa" w:w="1800"/>
            <w:tcMar>
              <w:top w:type="dxa" w:w="100"/>
              <w:left w:type="dxa" w:w="120"/>
              <w:bottom w:type="dxa" w:w="100"/>
              <w:right w:type="dxa" w:w="120"/>
            </w:tcMar>
          </w:tcPr>
          <w:p>
            <w:r>
              <w:rPr>
                <w:b w:val="false"/>
                <w:bCs w:val="false"/>
                <w:color w:val="0B0B0B"/>
                <w:sz w:val="19"/>
                <w:szCs w:val="19"/>
              </w:rPr>
              <w:t xml:space="preserve">Kaduna</w:t>
            </w:r>
          </w:p>
        </w:tc>
        <w:tc>
          <w:tcPr>
            <w:tcW w:type="dxa" w:w="1800"/>
            <w:tcMar>
              <w:top w:type="dxa" w:w="100"/>
              <w:left w:type="dxa" w:w="120"/>
              <w:bottom w:type="dxa" w:w="100"/>
              <w:right w:type="dxa" w:w="120"/>
            </w:tcMar>
          </w:tcPr>
          <w:p>
            <w:r>
              <w:rPr>
                <w:b w:val="false"/>
                <w:bCs w:val="false"/>
                <w:color w:val="0B0B0B"/>
                <w:sz w:val="19"/>
                <w:szCs w:val="19"/>
              </w:rPr>
              <w:t xml:space="preserve">36.4%</w:t>
            </w:r>
          </w:p>
        </w:tc>
        <w:tc>
          <w:tcPr>
            <w:tcW w:type="dxa" w:w="1800"/>
            <w:tcMar>
              <w:top w:type="dxa" w:w="100"/>
              <w:left w:type="dxa" w:w="120"/>
              <w:bottom w:type="dxa" w:w="100"/>
              <w:right w:type="dxa" w:w="120"/>
            </w:tcMar>
          </w:tcPr>
          <w:p>
            <w:r>
              <w:rPr>
                <w:b w:val="false"/>
                <w:bCs w:val="false"/>
                <w:color w:val="0B0B0B"/>
                <w:sz w:val="19"/>
                <w:szCs w:val="19"/>
              </w:rPr>
              <w:t xml:space="preserve">69.7%</w:t>
            </w:r>
          </w:p>
        </w:tc>
        <w:tc>
          <w:tcPr>
            <w:tcW w:type="dxa" w:w="1800"/>
            <w:tcMar>
              <w:top w:type="dxa" w:w="100"/>
              <w:left w:type="dxa" w:w="120"/>
              <w:bottom w:type="dxa" w:w="100"/>
              <w:right w:type="dxa" w:w="120"/>
            </w:tcMar>
          </w:tcPr>
          <w:p>
            <w:r>
              <w:rPr>
                <w:b w:val="false"/>
                <w:bCs w:val="false"/>
                <w:color w:val="0B0B0B"/>
                <w:sz w:val="19"/>
                <w:szCs w:val="19"/>
              </w:rPr>
              <w:t xml:space="preserve">18.2%</w:t>
            </w:r>
          </w:p>
        </w:tc>
        <w:tc>
          <w:tcPr>
            <w:tcW w:type="dxa" w:w="2880"/>
            <w:tcMar>
              <w:top w:type="dxa" w:w="100"/>
              <w:left w:type="dxa" w:w="120"/>
              <w:bottom w:type="dxa" w:w="100"/>
              <w:right w:type="dxa" w:w="120"/>
            </w:tcMar>
          </w:tcPr>
          <w:p>
            <w:r>
              <w:rPr>
                <w:b w:val="false"/>
                <w:bCs w:val="false"/>
                <w:color w:val="0B0B0B"/>
                <w:sz w:val="19"/>
                <w:szCs w:val="19"/>
              </w:rPr>
              <w:t xml:space="preserve">Critical</w:t>
            </w:r>
          </w:p>
        </w:tc>
      </w:tr>
      <w:tr>
        <w:tc>
          <w:tcPr>
            <w:tcW w:type="dxa" w:w="1800"/>
            <w:tcMar>
              <w:top w:type="dxa" w:w="100"/>
              <w:left w:type="dxa" w:w="120"/>
              <w:bottom w:type="dxa" w:w="100"/>
              <w:right w:type="dxa" w:w="120"/>
            </w:tcMar>
          </w:tcPr>
          <w:p>
            <w:r>
              <w:rPr>
                <w:b w:val="false"/>
                <w:bCs w:val="false"/>
                <w:color w:val="0B0B0B"/>
                <w:sz w:val="19"/>
                <w:szCs w:val="19"/>
              </w:rPr>
              <w:t xml:space="preserve">Yola</w:t>
            </w:r>
          </w:p>
        </w:tc>
        <w:tc>
          <w:tcPr>
            <w:tcW w:type="dxa" w:w="1800"/>
            <w:tcMar>
              <w:top w:type="dxa" w:w="100"/>
              <w:left w:type="dxa" w:w="120"/>
              <w:bottom w:type="dxa" w:w="100"/>
              <w:right w:type="dxa" w:w="120"/>
            </w:tcMar>
          </w:tcPr>
          <w:p>
            <w:r>
              <w:rPr>
                <w:b w:val="false"/>
                <w:bCs w:val="false"/>
                <w:color w:val="0B0B0B"/>
                <w:sz w:val="19"/>
                <w:szCs w:val="19"/>
              </w:rPr>
              <w:t xml:space="preserve">33.2%</w:t>
            </w:r>
          </w:p>
        </w:tc>
        <w:tc>
          <w:tcPr>
            <w:tcW w:type="dxa" w:w="1800"/>
            <w:tcMar>
              <w:top w:type="dxa" w:w="100"/>
              <w:left w:type="dxa" w:w="120"/>
              <w:bottom w:type="dxa" w:w="100"/>
              <w:right w:type="dxa" w:w="120"/>
            </w:tcMar>
          </w:tcPr>
          <w:p>
            <w:r>
              <w:rPr>
                <w:b w:val="false"/>
                <w:bCs w:val="false"/>
                <w:color w:val="0B0B0B"/>
                <w:sz w:val="19"/>
                <w:szCs w:val="19"/>
              </w:rPr>
              <w:t xml:space="preserve">56.4%</w:t>
            </w:r>
          </w:p>
        </w:tc>
        <w:tc>
          <w:tcPr>
            <w:tcW w:type="dxa" w:w="1800"/>
            <w:tcMar>
              <w:top w:type="dxa" w:w="100"/>
              <w:left w:type="dxa" w:w="120"/>
              <w:bottom w:type="dxa" w:w="100"/>
              <w:right w:type="dxa" w:w="120"/>
            </w:tcMar>
          </w:tcPr>
          <w:p>
            <w:r>
              <w:rPr>
                <w:b w:val="false"/>
                <w:bCs w:val="false"/>
                <w:color w:val="0B0B0B"/>
                <w:sz w:val="19"/>
                <w:szCs w:val="19"/>
              </w:rPr>
              <w:t xml:space="preserve">29.0%</w:t>
            </w:r>
          </w:p>
        </w:tc>
        <w:tc>
          <w:tcPr>
            <w:tcW w:type="dxa" w:w="2880"/>
            <w:tcMar>
              <w:top w:type="dxa" w:w="100"/>
              <w:left w:type="dxa" w:w="120"/>
              <w:bottom w:type="dxa" w:w="100"/>
              <w:right w:type="dxa" w:w="120"/>
            </w:tcMar>
          </w:tcPr>
          <w:p>
            <w:r>
              <w:rPr>
                <w:b w:val="false"/>
                <w:bCs w:val="false"/>
                <w:color w:val="0B0B0B"/>
                <w:sz w:val="19"/>
                <w:szCs w:val="19"/>
              </w:rPr>
              <w:t xml:space="preserve">Elevated</w:t>
            </w:r>
          </w:p>
        </w:tc>
      </w:tr>
    </w:tbl>
    <w:p>
      <w:pPr>
        <w:spacing w:after="260"/>
      </w:pPr>
      <w:r>
        <w:rPr>
          <w:sz w:val="22"/>
          <w:szCs w:val="22"/>
        </w:rPr>
        <w:t xml:space="preserve"/>
      </w:r>
    </w:p>
    <w:p>
      <w:pPr>
        <w:spacing w:after="160"/>
      </w:pPr>
      <w:r>
        <w:rPr>
          <w:sz w:val="22"/>
          <w:szCs w:val="22"/>
        </w:rPr>
        <w:t xml:space="preserve">The relationship between metering and loss is about as strong as social-science data gets: DisCos with more metered customers lose less energy, almost linearly (correlation coefficient −0.91). Unmetered customers are estimate-billed, and estimate billing is where both technical loss (no feedback on actual consumption) and commercial loss (disputed, unpaid, or simply wrong bills) originate. National metering coverage moved from 54.33% to 59.13% between June 2025 and March 2026 — a 4.8-point gain in nine months. At that rate, closing the metering gap for the worst-performing DisCos is a multi-year capital programme, not a policy announcement.</w:t>
      </w:r>
    </w:p>
    <w:p>
      <w:pPr>
        <w:pStyle w:val="Heading1"/>
        <w:spacing w:after="160" w:before="420"/>
      </w:pPr>
      <w:r>
        <w:rPr>
          <w:b/>
          <w:bCs/>
          <w:color w:val="0D2438"/>
          <w:sz w:val="27"/>
          <w:szCs w:val="27"/>
        </w:rPr>
        <w:t xml:space="preserve">Kaduna: What Happens When the Gap Goes Unaddressed</w:t>
      </w:r>
    </w:p>
    <w:p>
      <w:pPr>
        <w:spacing w:after="160"/>
      </w:pPr>
      <w:r>
        <w:rPr>
          <w:sz w:val="22"/>
          <w:szCs w:val="22"/>
        </w:rPr>
        <w:t xml:space="preserve">On 11 August 2026, NERC took the unusual step of placing Kaduna Electric under regulatory takeover, citing accumulated market debt of ₦456.5 billion and a persistent inability to meet remittance obligations. Kaduna's ATC&amp;C loss — 69.66% in the most recent DisCo-level data GridIQ reviewed — is the highest of any DisCo in the country and more than 3.8× its MYTO target. Its metering rate, at 36.43%, is among the lowest.</w:t>
      </w:r>
    </w:p>
    <w:p>
      <w:pPr>
        <w:spacing w:after="120" w:before="120"/>
      </w:pPr>
      <w:r>
        <w:rPr>
          <w:i/>
          <w:iCs/>
          <w:sz w:val="24"/>
          <w:szCs w:val="24"/>
        </w:rPr>
        <w:t xml:space="preserve">Kaduna is not an outlier event. It is the endpoint of a trend line every other laggard DisCo is also on — low metering, high loss, chronic under-remittance, compounding quarter over quarter until the regulator runs out of tariff tools and reaches for administrative ones.</w:t>
      </w:r>
    </w:p>
    <w:p>
      <w:pPr>
        <w:spacing w:after="220"/>
      </w:pPr>
      <w:r>
        <w:rPr>
          <w:color w:val="898781"/>
          <w:sz w:val="18"/>
          <w:szCs w:val="18"/>
        </w:rPr>
        <w:t xml:space="preserve">— GridIQ Analytics and Insight Ltd</w:t>
      </w:r>
    </w:p>
    <w:p>
      <w:pPr>
        <w:spacing w:after="160"/>
      </w:pPr>
      <w:r>
        <w:rPr>
          <w:sz w:val="22"/>
          <w:szCs w:val="22"/>
        </w:rPr>
        <w:t xml:space="preserve">The lesson for the "next tariff review" framing is direct: tariff design cannot fix a DisCo that is losing 70 kobo of every naira of energy it receives. No cost-reflective tariff generates enough revenue to cover a 70% loss rate at a price customers will tolerate. Kaduna is what happens when loss reduction is treated as a target to report against rather than a capital and operating priority to fund. Five more DisCos are on a trajectory that could put them in the same position within two to three MYTO cycles if the current stall persists.</w:t>
      </w:r>
    </w:p>
    <w:p>
      <w:pPr>
        <w:pStyle w:val="Heading1"/>
        <w:spacing w:after="160" w:before="420"/>
      </w:pPr>
      <w:r>
        <w:rPr>
          <w:b/>
          <w:bCs/>
          <w:color w:val="0D2438"/>
          <w:sz w:val="27"/>
          <w:szCs w:val="27"/>
        </w:rPr>
        <w:t xml:space="preserve">NERC's Own Move Signals It Agrees</w:t>
      </w:r>
    </w:p>
    <w:p>
      <w:pPr>
        <w:spacing w:after="160"/>
      </w:pPr>
      <w:r>
        <w:rPr>
          <w:sz w:val="22"/>
          <w:szCs w:val="22"/>
        </w:rPr>
        <w:t xml:space="preserve">On 4 September 2026, NERC issued a Revised Order on Successor Distribution Companies' Utilisation of Earned Non-Admin Operating Expenditure (NERC/2026/062A), redirecting DisCo "surplus" revenue — margin earned above the MYTO-allowed return — into ring-fenced CapEx accounts rather than leaving it as freely distributable income. Read alongside seventeen quarters of stalled ATC&amp;C performance, the intent is legible: the regulator is trying to force loss-reduction investment out of DisCos that have not been making it voluntarily, because the commercial case for reducing losses is stronger for DisCos than for the sector when remittance obligations, not loss reduction, determine near-term cash flow.</w:t>
      </w:r>
    </w:p>
    <w:p>
      <w:pPr>
        <w:spacing w:after="160"/>
      </w:pPr>
      <w:r>
        <w:rPr>
          <w:sz w:val="22"/>
          <w:szCs w:val="22"/>
        </w:rPr>
        <w:t xml:space="preserve">That is the structural tension the next tariff review inherits. Under the DRO regime introduced in January 2024, DisCos remit against an obligation set independently of how much they actually collect; a DisCo that under-collects still owes the same obligation, funded either by squeezing CapEx, delaying supplier payments, or accumulating the kind of arrears that put Kaduna into administration. Tariff increases raise the obligation's revenue base but do nothing to change the incentive that lets loss reduction stay a second priority.</w:t>
      </w:r>
    </w:p>
    <w:p>
      <w:pPr>
        <w:spacing w:after="160"/>
      </w:pPr>
      <w:r>
        <w:rPr>
          <w:b/>
          <w:bCs/>
          <w:sz w:val="22"/>
          <w:szCs w:val="22"/>
        </w:rPr>
        <w:t xml:space="preserve">The risk to the next tariff cycle: </w:t>
      </w:r>
      <w:r>
        <w:rPr>
          <w:sz w:val="22"/>
          <w:szCs w:val="22"/>
        </w:rPr>
        <w:t xml:space="preserve">If ATC&amp;C loss is still running near 37% when the next tariff order is calculated, either (a) the cost-reflective tariff embeds today's loss rate and customers pay for inefficiency they didn't cause, or (b) the tariff assumes MYTO-target loss rates DisCos are nowhere close to hitting, and the revenue gap reopens the subsidy and remittance pressure that produced Kaduna. Neither outcome is what "the next phase of tariff adjustments" is supposed to deliver.</w:t>
      </w:r>
    </w:p>
    <w:p>
      <w:pPr>
        <w:pStyle w:val="Heading1"/>
        <w:spacing w:after="160" w:before="420"/>
      </w:pPr>
      <w:r>
        <w:rPr>
          <w:b/>
          <w:bCs/>
          <w:color w:val="0D2438"/>
          <w:sz w:val="27"/>
          <w:szCs w:val="27"/>
        </w:rPr>
        <w:t xml:space="preserve">What Still Needs to Be True</w:t>
      </w:r>
    </w:p>
    <w:p>
      <w:pPr>
        <w:spacing w:after="160"/>
      </w:pPr>
      <w:r>
        <w:rPr>
          <w:sz w:val="22"/>
          <w:szCs w:val="22"/>
        </w:rPr>
        <w:t xml:space="preserve">None of this is self-correcting on the current trajectory. Four conditions determine whether the next tariff review lands on a sector that has actually closed the gap, or one still carrying the same loss rate it had two years ago, dressed in a new tariff order:</w:t>
      </w:r>
    </w:p>
    <w:p>
      <w:pPr>
        <w:spacing w:after="160"/>
      </w:pPr>
      <w:r>
        <w:rPr>
          <w:b/>
          <w:bCs/>
          <w:sz w:val="22"/>
          <w:szCs w:val="22"/>
        </w:rPr>
        <w:t xml:space="preserve">A second consecutive quarter of improvement.</w:t>
      </w:r>
      <w:r>
        <w:rPr>
          <w:sz w:val="22"/>
          <w:szCs w:val="22"/>
        </w:rPr>
        <w:t xml:space="preserve"> Seven quarters of range-bound performance (33.3%–39.6%) is long enough that one good reading should not be read as a reversal. Q2 2026 either confirms Q1's direction or confirms the plateau is the new normal.</w:t>
      </w:r>
    </w:p>
    <w:p>
      <w:pPr>
        <w:spacing w:after="160"/>
      </w:pPr>
      <w:r>
        <w:rPr>
          <w:b/>
          <w:bCs/>
          <w:sz w:val="22"/>
          <w:szCs w:val="22"/>
        </w:rPr>
        <w:t xml:space="preserve">The ring-fenced CapEx order reaching the feeder, not just the balance sheet.</w:t>
      </w:r>
      <w:r>
        <w:rPr>
          <w:sz w:val="22"/>
          <w:szCs w:val="22"/>
        </w:rPr>
        <w:t xml:space="preserve"> NERC/2026/062A only closes the loss gap if redirected surplus revenue actually funds metering and feeder investment, rather than being absorbed elsewhere in DisCo cost structures the way earlier operating-expenditure flexibility often was.</w:t>
      </w:r>
    </w:p>
    <w:p>
      <w:pPr>
        <w:spacing w:after="160"/>
      </w:pPr>
      <w:r>
        <w:rPr>
          <w:b/>
          <w:bCs/>
          <w:sz w:val="22"/>
          <w:szCs w:val="22"/>
        </w:rPr>
        <w:t xml:space="preserve">A credible template out of Kaduna, not just an emergency measure.</w:t>
      </w:r>
      <w:r>
        <w:rPr>
          <w:sz w:val="22"/>
          <w:szCs w:val="22"/>
        </w:rPr>
        <w:t xml:space="preserve"> How NERC restructures Kaduna's operations and ₦456.5 billion in debt will signal what happens to the next DisCo that crosses a similar threshold — and on current numbers, several are on that path.</w:t>
      </w:r>
    </w:p>
    <w:p>
      <w:pPr>
        <w:spacing w:after="160"/>
      </w:pPr>
      <w:r>
        <w:rPr>
          <w:b/>
          <w:bCs/>
          <w:sz w:val="22"/>
          <w:szCs w:val="22"/>
        </w:rPr>
        <w:t xml:space="preserve">Metering investment sustained past the current pace.</w:t>
      </w:r>
      <w:r>
        <w:rPr>
          <w:sz w:val="22"/>
          <w:szCs w:val="22"/>
        </w:rPr>
        <w:t xml:space="preserve"> National coverage gained 4.8 points in nine months. At that rate, closing the metering gap for the six worst-performing DisCos is a multi-year programme, not a policy announcement — and any change in pace shows up in ATC&amp;C figures roughly two quarters later.</w:t>
      </w:r>
    </w:p>
    <w:p>
      <w:pPr>
        <w:pStyle w:val="Heading1"/>
        <w:spacing w:after="160" w:before="420"/>
      </w:pPr>
      <w:r>
        <w:rPr>
          <w:b/>
          <w:bCs/>
          <w:color w:val="0D2438"/>
          <w:sz w:val="27"/>
          <w:szCs w:val="27"/>
        </w:rPr>
        <w:t xml:space="preserve">The Bottom Line for GridIQ Readers</w:t>
      </w:r>
    </w:p>
    <w:p>
      <w:pPr>
        <w:spacing w:after="160"/>
      </w:pPr>
      <w:r>
        <w:rPr>
          <w:sz w:val="22"/>
          <w:szCs w:val="22"/>
        </w:rPr>
        <w:t xml:space="preserve">Strip away the quarterly noise, and the data makes one point cleanly: Nigeria's DisCos found real loss-reduction gains between 2022 and mid-2024, and have not found a second round of them since. A tariff review calculated against today's 37% loss rate asks customers to pay for inefficiency they did not cause; one calculated against MYTO's 16.92% target assumes a performance level the sector is nowhere near, reopening exactly the subsidy and remittance pressure that put Kaduna into administration. For GridIQ's readers tracking the next tariff cycle, the metric to watch is not the headline percentage on review day — it is whether ATC&amp;C loss has actually moved between now and then, or whether the sector is once again asking a price change to do a collections problem's job.</w:t>
      </w:r>
    </w:p>
    <w:p>
      <w:pPr>
        <w:spacing w:after="80" w:before="320"/>
      </w:pPr>
      <w:r>
        <w:rPr>
          <w:b/>
          <w:bCs/>
          <w:sz w:val="19"/>
          <w:szCs w:val="19"/>
        </w:rPr>
        <w:t xml:space="preserve">Methodology &amp; sourcing</w:t>
      </w:r>
    </w:p>
    <w:p>
      <w:pPr>
        <w:spacing w:after="260"/>
      </w:pPr>
      <w:r>
        <w:rPr>
          <w:color w:val="52514E"/>
          <w:sz w:val="18"/>
          <w:szCs w:val="18"/>
        </w:rPr>
        <w:t xml:space="preserve">ATC&amp;C loss figures for 2024 Q2–2026 Q1 are drawn directly from NERC's published Quarterly Reports on the Performance of the Nigerian Electricity Supply Industry (nerc.gov.ng), including billing efficiency, collection efficiency, DisCo-level breakdowns, and stated Naira revenue shortfalls where NERC provides them. For select 2022–2023 quarters where GridIQ could not retrieve the original NERC PDF, figures are cross-checked against at least one contemporaneous report from BusinessDay, ThisDay, Vanguard, Nairametrics, The Guardian, Nigerian Tribune, Blueprint, or The Whistler citing the same NERC data; these quarters carry a wider confidence band than the directly-sourced 2024–2026 series. All billing-efficiency × collection-efficiency identities were independently recomputed by GridIQ and reconciled against NERC's headline ATC&amp;C figure for each quarter. MYTO target figures reflect NERC's most recently published DisCo-level and sector average targets as of each cited order; targets are revised periodically and historical comparisons should be read against the target vintage in force at the time.</w:t>
      </w:r>
    </w:p>
    <w:p>
      <w:pPr>
        <w:pBdr>
          <w:top w:val="single" w:color="E1E0D9" w:sz="4" w:space="8"/>
        </w:pBdr>
        <w:spacing w:before="200"/>
      </w:pPr>
      <w:r>
        <w:rPr>
          <w:i/>
          <w:iCs/>
          <w:color w:val="898781"/>
          <w:sz w:val="16"/>
          <w:szCs w:val="16"/>
        </w:rPr>
        <w:t xml:space="preserve">© 2026 GridIQ Analytics and Insight Ltd. Figures are drawn from NERC's public quarterly disclosures and named secondary sources; loss rates, targets, and revenue figures have varied across reporting cycles. This piece is an editorial analysis, not investment, legal, or regulatory advice.</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98781"/>
        <w:sz w:val="16"/>
        <w:szCs w:val="16"/>
      </w:rPr>
      <w:t xml:space="preserve">© 2026 GridIQ Analytics and Insight Ltd  ·  Page </w:t>
    </w:r>
    <w:r>
      <w:rPr>
        <w:color w:val="898781"/>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98781"/>
        <w:sz w:val="16"/>
        <w:szCs w:val="16"/>
      </w:rPr>
      <w:t xml:space="preserve">GridIQ Analytics and Insight Ltd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0858ac63d4f0705dc3d8098b0f9fe1c109b1f794.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2026-09-21T03:04:46.007Z</dcterms:created>
  <dcterms:modified xsi:type="dcterms:W3CDTF">2026-09-21T03:04:46.016Z</dcterms:modified>
</cp:coreProperties>
</file>

<file path=docProps/custom.xml><?xml version="1.0" encoding="utf-8"?>
<Properties xmlns="http://schemas.openxmlformats.org/officeDocument/2006/custom-properties" xmlns:vt="http://schemas.openxmlformats.org/officeDocument/2006/docPropsVTypes"/>
</file>